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outlineLvl w:val="0"/>
        <w:rPr>
          <w:rFonts w:asciiTheme="minorEastAsia" w:hAnsiTheme="minorEastAsia" w:eastAsiaTheme="minorEastAsia"/>
          <w:b/>
          <w:color w:val="auto"/>
          <w:sz w:val="32"/>
          <w:szCs w:val="21"/>
          <w:highlight w:val="none"/>
        </w:rPr>
      </w:pPr>
      <w:bookmarkStart w:id="0" w:name="_Toc63440195"/>
      <w:bookmarkStart w:id="1" w:name="_Toc16995"/>
      <w:bookmarkStart w:id="2" w:name="_Toc15766"/>
      <w:r>
        <w:rPr>
          <w:rFonts w:hint="eastAsia" w:asciiTheme="minorEastAsia" w:hAnsiTheme="minorEastAsia" w:eastAsiaTheme="minorEastAsia"/>
          <w:b/>
          <w:color w:val="auto"/>
          <w:sz w:val="32"/>
          <w:szCs w:val="21"/>
          <w:highlight w:val="none"/>
        </w:rPr>
        <w:t>采购需求</w:t>
      </w:r>
      <w:bookmarkEnd w:id="0"/>
      <w:bookmarkEnd w:id="1"/>
      <w:bookmarkEnd w:id="2"/>
    </w:p>
    <w:p>
      <w:pPr>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前注：</w:t>
      </w:r>
    </w:p>
    <w:p>
      <w:pPr>
        <w:keepNext w:val="0"/>
        <w:keepLines w:val="0"/>
        <w:pageBreakBefore w:val="0"/>
        <w:widowControl w:val="0"/>
        <w:kinsoku/>
        <w:wordWrap/>
        <w:overflowPunct/>
        <w:topLinePunct w:val="0"/>
        <w:autoSpaceDE/>
        <w:autoSpaceDN/>
        <w:bidi w:val="0"/>
        <w:adjustRightInd/>
        <w:snapToGrid/>
        <w:spacing w:line="400" w:lineRule="exact"/>
        <w:ind w:firstLine="240" w:firstLineChars="100"/>
        <w:textAlignment w:val="auto"/>
        <w:rPr>
          <w:rFonts w:ascii="宋体" w:hAnsi="宋体" w:eastAsia="宋体" w:cs="宋体"/>
          <w:color w:val="auto"/>
          <w:sz w:val="24"/>
          <w:szCs w:val="24"/>
          <w:highlight w:val="none"/>
        </w:rPr>
      </w:pPr>
      <w:bookmarkStart w:id="3" w:name="_Hlk23621890"/>
      <w:r>
        <w:rPr>
          <w:rFonts w:hint="eastAsia" w:ascii="宋体" w:hAnsi="宋体" w:eastAsia="宋体" w:cs="宋体"/>
          <w:color w:val="auto"/>
          <w:sz w:val="24"/>
          <w:szCs w:val="24"/>
          <w:highlight w:val="none"/>
        </w:rPr>
        <w:t>1、</w:t>
      </w:r>
      <w:r>
        <w:rPr>
          <w:rFonts w:ascii="宋体" w:hAnsi="宋体" w:eastAsia="宋体" w:cs="宋体"/>
          <w:color w:val="auto"/>
          <w:sz w:val="24"/>
          <w:szCs w:val="24"/>
          <w:highlight w:val="none"/>
        </w:rPr>
        <w:t>本采购需求中提出的服务方案仅为参考，如无明确限制，投标</w:t>
      </w:r>
      <w:r>
        <w:rPr>
          <w:rFonts w:hint="eastAsia" w:ascii="宋体" w:hAnsi="宋体" w:eastAsia="宋体" w:cs="宋体"/>
          <w:color w:val="auto"/>
          <w:sz w:val="24"/>
          <w:szCs w:val="24"/>
          <w:highlight w:val="none"/>
        </w:rPr>
        <w:t>人</w:t>
      </w:r>
      <w:r>
        <w:rPr>
          <w:rFonts w:ascii="宋体" w:hAnsi="宋体" w:eastAsia="宋体" w:cs="宋体"/>
          <w:color w:val="auto"/>
          <w:sz w:val="24"/>
          <w:szCs w:val="24"/>
          <w:highlight w:val="none"/>
        </w:rPr>
        <w:t>可以进行优化，提供满足采购人实际需要的更优（或者性能实质上不低于的）服务方案，且此方案须经评标委员会评审认可</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00" w:lineRule="exact"/>
        <w:ind w:firstLine="240" w:firstLineChars="1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2.下列采购需求中：</w:t>
      </w:r>
    </w:p>
    <w:p>
      <w:pPr>
        <w:keepNext w:val="0"/>
        <w:keepLines w:val="0"/>
        <w:pageBreakBefore w:val="0"/>
        <w:widowControl w:val="0"/>
        <w:kinsoku/>
        <w:wordWrap/>
        <w:overflowPunct/>
        <w:topLinePunct w:val="0"/>
        <w:autoSpaceDE/>
        <w:autoSpaceDN/>
        <w:bidi w:val="0"/>
        <w:adjustRightInd/>
        <w:snapToGrid/>
        <w:spacing w:line="400" w:lineRule="exact"/>
        <w:ind w:firstLine="240" w:firstLineChars="1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1）如属于《节能产品政府采购品目清单》中政府强制采购的节能产品，则投标人所投产品须具有市场监管总局公布的《参与实施政府采购节能产品认证机构目录》中的认证机构出具的、处于有效期内的节能产品认证证书。</w:t>
      </w:r>
      <w:r>
        <w:rPr>
          <w:rFonts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 xml:space="preserve">  </w:t>
      </w:r>
      <w:r>
        <w:rPr>
          <w:rFonts w:ascii="宋体" w:hAnsi="宋体" w:eastAsia="宋体" w:cs="宋体"/>
          <w:color w:val="auto"/>
          <w:sz w:val="24"/>
          <w:szCs w:val="24"/>
          <w:highlight w:val="none"/>
        </w:rPr>
        <w:t>（2）如涉及商品包装和快递包装，投标人应当执行《关于印发〈商品包装政府采购需求标准（试行）〉、〈快递包装政府采购需求标准（试行）〉的通知》（财办库〔2020〕123 号）、《安徽省财政厅关于贯彻落实政府绿色采购有关政策的通知》（皖财购〔2023〕853号）的要求，提供符合需求标准的绿色包装、绿色运输，同时，采购人将对包装材料和运输环节作为履约验收条款进行验收。</w:t>
      </w:r>
    </w:p>
    <w:p>
      <w:pPr>
        <w:keepNext w:val="0"/>
        <w:keepLines w:val="0"/>
        <w:pageBreakBefore w:val="0"/>
        <w:widowControl w:val="0"/>
        <w:kinsoku/>
        <w:wordWrap/>
        <w:overflowPunct/>
        <w:topLinePunct w:val="0"/>
        <w:autoSpaceDE/>
        <w:autoSpaceDN/>
        <w:bidi w:val="0"/>
        <w:adjustRightInd/>
        <w:snapToGrid/>
        <w:spacing w:line="400" w:lineRule="exact"/>
        <w:ind w:firstLine="435"/>
        <w:textAlignment w:val="auto"/>
        <w:rPr>
          <w:rFonts w:ascii="宋体" w:hAnsi="宋体" w:eastAsia="宋体"/>
          <w:color w:val="auto"/>
          <w:sz w:val="24"/>
          <w:szCs w:val="18"/>
          <w:highlight w:val="none"/>
        </w:rPr>
      </w:pPr>
      <w:r>
        <w:rPr>
          <w:rFonts w:hint="eastAsia" w:ascii="宋体" w:hAnsi="宋体" w:eastAsia="宋体"/>
          <w:color w:val="auto"/>
          <w:sz w:val="24"/>
          <w:szCs w:val="18"/>
          <w:highlight w:val="none"/>
        </w:rPr>
        <w:t>3.</w:t>
      </w:r>
      <w:r>
        <w:rPr>
          <w:rFonts w:hint="eastAsia"/>
          <w:color w:val="auto"/>
          <w:highlight w:val="none"/>
        </w:rPr>
        <w:t xml:space="preserve"> </w:t>
      </w:r>
      <w:r>
        <w:rPr>
          <w:rFonts w:hint="eastAsia" w:ascii="宋体" w:hAnsi="宋体" w:eastAsia="宋体"/>
          <w:color w:val="auto"/>
          <w:sz w:val="24"/>
          <w:szCs w:val="18"/>
          <w:highlight w:val="none"/>
        </w:rPr>
        <w:t>如采购人允许采用分包方式履行合同的，应当明确可以分包履行的相关内容。</w:t>
      </w:r>
    </w:p>
    <w:p>
      <w:pPr>
        <w:spacing w:line="360" w:lineRule="auto"/>
        <w:ind w:firstLine="437"/>
        <w:outlineLvl w:val="1"/>
        <w:rPr>
          <w:rFonts w:ascii="宋体" w:hAnsi="宋体" w:eastAsia="宋体"/>
          <w:b/>
          <w:color w:val="auto"/>
          <w:sz w:val="24"/>
          <w:szCs w:val="18"/>
          <w:highlight w:val="none"/>
        </w:rPr>
      </w:pPr>
      <w:r>
        <w:rPr>
          <w:rFonts w:hint="eastAsia" w:ascii="宋体" w:hAnsi="宋体" w:eastAsia="宋体"/>
          <w:b/>
          <w:color w:val="auto"/>
          <w:sz w:val="24"/>
          <w:szCs w:val="18"/>
          <w:highlight w:val="none"/>
        </w:rPr>
        <w:t>一、采购需求前附表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1599"/>
        <w:gridCol w:w="6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11" w:type="pct"/>
            <w:vAlign w:val="center"/>
          </w:tcPr>
          <w:p>
            <w:pPr>
              <w:pStyle w:val="33"/>
              <w:pBdr>
                <w:bottom w:val="none" w:color="auto" w:sz="0" w:space="0"/>
              </w:pBdr>
              <w:tabs>
                <w:tab w:val="clear" w:pos="4153"/>
                <w:tab w:val="clear" w:pos="8306"/>
              </w:tabs>
              <w:adjustRightInd/>
              <w:spacing w:line="240" w:lineRule="auto"/>
              <w:textAlignment w:val="auto"/>
              <w:rPr>
                <w:rFonts w:ascii="宋体" w:hAnsi="宋体" w:eastAsia="宋体"/>
                <w:b/>
                <w:color w:val="auto"/>
                <w:kern w:val="2"/>
                <w:highlight w:val="none"/>
              </w:rPr>
            </w:pPr>
            <w:r>
              <w:rPr>
                <w:rFonts w:hint="eastAsia" w:ascii="宋体" w:hAnsi="宋体" w:eastAsia="宋体"/>
                <w:b/>
                <w:color w:val="auto"/>
                <w:kern w:val="2"/>
                <w:highlight w:val="none"/>
              </w:rPr>
              <w:t>序号</w:t>
            </w:r>
          </w:p>
        </w:tc>
        <w:tc>
          <w:tcPr>
            <w:tcW w:w="938" w:type="pct"/>
            <w:vAlign w:val="center"/>
          </w:tcPr>
          <w:p>
            <w:pPr>
              <w:pStyle w:val="32"/>
              <w:widowControl w:val="0"/>
              <w:spacing w:before="0" w:beforeAutospacing="0" w:after="0" w:afterAutospacing="0" w:line="360" w:lineRule="auto"/>
              <w:rPr>
                <w:rFonts w:ascii="宋体" w:hAnsi="宋体" w:eastAsia="宋体"/>
                <w:bCs w:val="0"/>
                <w:color w:val="auto"/>
                <w:sz w:val="24"/>
                <w:highlight w:val="none"/>
              </w:rPr>
            </w:pPr>
            <w:r>
              <w:rPr>
                <w:rFonts w:hint="eastAsia" w:ascii="宋体" w:hAnsi="宋体" w:eastAsia="宋体"/>
                <w:bCs w:val="0"/>
                <w:color w:val="auto"/>
                <w:sz w:val="24"/>
                <w:highlight w:val="none"/>
              </w:rPr>
              <w:t>条款名称</w:t>
            </w:r>
          </w:p>
        </w:tc>
        <w:tc>
          <w:tcPr>
            <w:tcW w:w="3649" w:type="pct"/>
            <w:vAlign w:val="center"/>
          </w:tcPr>
          <w:p>
            <w:pPr>
              <w:pStyle w:val="32"/>
              <w:widowControl w:val="0"/>
              <w:spacing w:before="0" w:beforeAutospacing="0" w:after="0" w:afterAutospacing="0" w:line="360" w:lineRule="auto"/>
              <w:rPr>
                <w:rFonts w:ascii="宋体" w:hAnsi="宋体" w:eastAsia="宋体"/>
                <w:bCs w:val="0"/>
                <w:color w:val="auto"/>
                <w:sz w:val="24"/>
                <w:highlight w:val="none"/>
              </w:rPr>
            </w:pPr>
            <w:r>
              <w:rPr>
                <w:rFonts w:hint="eastAsia" w:ascii="宋体" w:hAnsi="宋体" w:eastAsia="宋体"/>
                <w:bCs w:val="0"/>
                <w:color w:val="auto"/>
                <w:sz w:val="24"/>
                <w:highlight w:val="none"/>
              </w:rPr>
              <w:t>内容、说明与要求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11" w:type="pct"/>
            <w:vAlign w:val="center"/>
          </w:tcPr>
          <w:p>
            <w:pPr>
              <w:pStyle w:val="33"/>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1</w:t>
            </w:r>
          </w:p>
        </w:tc>
        <w:tc>
          <w:tcPr>
            <w:tcW w:w="938" w:type="pct"/>
            <w:vAlign w:val="center"/>
          </w:tcPr>
          <w:p>
            <w:pPr>
              <w:pStyle w:val="32"/>
              <w:widowControl w:val="0"/>
              <w:spacing w:before="0" w:beforeAutospacing="0" w:after="0" w:afterAutospacing="0" w:line="360" w:lineRule="auto"/>
              <w:rPr>
                <w:rFonts w:ascii="宋体" w:hAnsi="宋体" w:eastAsia="宋体"/>
                <w:b w:val="0"/>
                <w:color w:val="auto"/>
                <w:sz w:val="24"/>
                <w:highlight w:val="none"/>
              </w:rPr>
            </w:pPr>
            <w:r>
              <w:rPr>
                <w:rFonts w:hint="eastAsia" w:ascii="宋体" w:hAnsi="宋体" w:eastAsia="宋体"/>
                <w:b w:val="0"/>
                <w:color w:val="auto"/>
                <w:sz w:val="24"/>
                <w:highlight w:val="none"/>
              </w:rPr>
              <w:t>付款方式</w:t>
            </w:r>
          </w:p>
        </w:tc>
        <w:tc>
          <w:tcPr>
            <w:tcW w:w="3649" w:type="pct"/>
            <w:vAlign w:val="center"/>
          </w:tcPr>
          <w:p>
            <w:pPr>
              <w:keepNext w:val="0"/>
              <w:keepLines w:val="0"/>
              <w:pageBreakBefore w:val="0"/>
              <w:widowControl w:val="0"/>
              <w:kinsoku/>
              <w:wordWrap/>
              <w:overflowPunct/>
              <w:topLinePunct w:val="0"/>
              <w:autoSpaceDE/>
              <w:autoSpaceDN/>
              <w:bidi w:val="0"/>
              <w:adjustRightInd/>
              <w:snapToGrid/>
              <w:spacing w:line="40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1.第1、2包在</w:t>
            </w:r>
            <w:r>
              <w:rPr>
                <w:rFonts w:hint="eastAsia" w:ascii="宋体" w:hAnsi="宋体" w:eastAsia="宋体" w:cs="宋体"/>
                <w:color w:val="auto"/>
                <w:sz w:val="24"/>
                <w:szCs w:val="24"/>
                <w:highlight w:val="none"/>
              </w:rPr>
              <w:t>合同生效，具备实施条件，且成交供应商提供等额的预付款保函或其他担保措施后，采购人支付合同款的40%作为预付款；验收合格后，支付剩余合同款。</w:t>
            </w:r>
          </w:p>
          <w:p>
            <w:pPr>
              <w:keepNext w:val="0"/>
              <w:keepLines w:val="0"/>
              <w:pageBreakBefore w:val="0"/>
              <w:widowControl w:val="0"/>
              <w:kinsoku/>
              <w:wordWrap/>
              <w:overflowPunct/>
              <w:topLinePunct w:val="0"/>
              <w:autoSpaceDE/>
              <w:autoSpaceDN/>
              <w:bidi w:val="0"/>
              <w:adjustRightInd/>
              <w:snapToGrid/>
              <w:spacing w:line="400" w:lineRule="exact"/>
              <w:ind w:firstLine="240" w:firstLineChars="1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2.第3、4包在模拟器搬迁后运行正常，验收合格后由采购人一次性支付合同款。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11" w:type="pct"/>
            <w:vAlign w:val="center"/>
          </w:tcPr>
          <w:p>
            <w:pPr>
              <w:pStyle w:val="33"/>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2</w:t>
            </w:r>
          </w:p>
        </w:tc>
        <w:tc>
          <w:tcPr>
            <w:tcW w:w="938" w:type="pct"/>
            <w:vAlign w:val="center"/>
          </w:tcPr>
          <w:p>
            <w:pPr>
              <w:pStyle w:val="32"/>
              <w:widowControl w:val="0"/>
              <w:spacing w:before="0" w:beforeAutospacing="0" w:after="0" w:afterAutospacing="0" w:line="360" w:lineRule="auto"/>
              <w:rPr>
                <w:rFonts w:ascii="宋体" w:hAnsi="宋体" w:eastAsia="宋体"/>
                <w:b w:val="0"/>
                <w:color w:val="auto"/>
                <w:sz w:val="24"/>
                <w:highlight w:val="none"/>
              </w:rPr>
            </w:pPr>
            <w:r>
              <w:rPr>
                <w:rFonts w:hint="eastAsia" w:ascii="宋体" w:hAnsi="宋体" w:eastAsia="宋体"/>
                <w:b w:val="0"/>
                <w:color w:val="auto"/>
                <w:sz w:val="24"/>
                <w:highlight w:val="none"/>
              </w:rPr>
              <w:t>服务地点</w:t>
            </w:r>
          </w:p>
        </w:tc>
        <w:tc>
          <w:tcPr>
            <w:tcW w:w="3649" w:type="pct"/>
            <w:vAlign w:val="center"/>
          </w:tcPr>
          <w:p>
            <w:pPr>
              <w:pStyle w:val="32"/>
              <w:widowControl w:val="0"/>
              <w:spacing w:before="0" w:beforeAutospacing="0" w:after="0" w:afterAutospacing="0" w:line="360" w:lineRule="auto"/>
              <w:jc w:val="both"/>
              <w:rPr>
                <w:rFonts w:ascii="宋体" w:hAnsi="宋体" w:eastAsia="宋体"/>
                <w:b w:val="0"/>
                <w:color w:val="auto"/>
                <w:sz w:val="24"/>
                <w:highlight w:val="none"/>
              </w:rPr>
            </w:pPr>
            <w:r>
              <w:rPr>
                <w:rFonts w:hint="default" w:ascii="宋体" w:hAnsi="宋体" w:eastAsia="宋体"/>
                <w:b w:val="0"/>
                <w:color w:val="auto"/>
                <w:sz w:val="24"/>
                <w:highlight w:val="none"/>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11" w:type="pct"/>
            <w:vAlign w:val="center"/>
          </w:tcPr>
          <w:p>
            <w:pPr>
              <w:pStyle w:val="33"/>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3</w:t>
            </w:r>
          </w:p>
        </w:tc>
        <w:tc>
          <w:tcPr>
            <w:tcW w:w="938" w:type="pct"/>
            <w:vAlign w:val="center"/>
          </w:tcPr>
          <w:p>
            <w:pPr>
              <w:pStyle w:val="32"/>
              <w:widowControl w:val="0"/>
              <w:spacing w:before="0" w:beforeAutospacing="0" w:after="0" w:afterAutospacing="0" w:line="360" w:lineRule="auto"/>
              <w:rPr>
                <w:rFonts w:ascii="宋体" w:hAnsi="宋体" w:eastAsia="宋体"/>
                <w:b w:val="0"/>
                <w:color w:val="auto"/>
                <w:sz w:val="24"/>
                <w:highlight w:val="none"/>
              </w:rPr>
            </w:pPr>
            <w:r>
              <w:rPr>
                <w:rFonts w:hint="eastAsia" w:ascii="宋体" w:hAnsi="宋体" w:eastAsia="宋体"/>
                <w:b w:val="0"/>
                <w:color w:val="auto"/>
                <w:sz w:val="24"/>
                <w:highlight w:val="none"/>
              </w:rPr>
              <w:t>服务期限</w:t>
            </w:r>
          </w:p>
        </w:tc>
        <w:tc>
          <w:tcPr>
            <w:tcW w:w="3649" w:type="pct"/>
            <w:vAlign w:val="center"/>
          </w:tcPr>
          <w:p>
            <w:pPr>
              <w:pStyle w:val="32"/>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自合同签订之日起至2024年8月10日前完成搬迁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11" w:type="pct"/>
            <w:vAlign w:val="center"/>
          </w:tcPr>
          <w:p>
            <w:pPr>
              <w:pStyle w:val="33"/>
              <w:pBdr>
                <w:bottom w:val="none" w:color="auto" w:sz="0" w:space="0"/>
              </w:pBdr>
              <w:tabs>
                <w:tab w:val="clear" w:pos="4153"/>
                <w:tab w:val="clear" w:pos="8306"/>
              </w:tabs>
              <w:adjustRightInd/>
              <w:spacing w:line="240" w:lineRule="auto"/>
              <w:textAlignment w:val="auto"/>
              <w:rPr>
                <w:rFonts w:hint="eastAsia" w:ascii="宋体" w:hAnsi="宋体" w:eastAsia="宋体"/>
                <w:bCs/>
                <w:color w:val="auto"/>
                <w:kern w:val="2"/>
                <w:highlight w:val="none"/>
                <w:lang w:val="en-US" w:eastAsia="zh-CN"/>
              </w:rPr>
            </w:pPr>
            <w:bookmarkStart w:id="4" w:name="_Hlk16461016"/>
            <w:r>
              <w:rPr>
                <w:rFonts w:hint="eastAsia" w:ascii="宋体" w:hAnsi="宋体" w:eastAsia="宋体"/>
                <w:bCs/>
                <w:color w:val="auto"/>
                <w:kern w:val="2"/>
                <w:highlight w:val="none"/>
                <w:lang w:val="en-US" w:eastAsia="zh-CN"/>
              </w:rPr>
              <w:t>4</w:t>
            </w:r>
          </w:p>
        </w:tc>
        <w:tc>
          <w:tcPr>
            <w:tcW w:w="938" w:type="pct"/>
            <w:vAlign w:val="center"/>
          </w:tcPr>
          <w:p>
            <w:pPr>
              <w:pStyle w:val="32"/>
              <w:widowControl w:val="0"/>
              <w:spacing w:before="0" w:beforeAutospacing="0" w:after="0" w:afterAutospacing="0" w:line="360" w:lineRule="auto"/>
              <w:rPr>
                <w:rFonts w:hint="eastAsia" w:ascii="宋体" w:hAnsi="宋体" w:eastAsia="宋体"/>
                <w:b w:val="0"/>
                <w:color w:val="auto"/>
                <w:sz w:val="24"/>
                <w:highlight w:val="none"/>
                <w:lang w:eastAsia="zh-CN"/>
              </w:rPr>
            </w:pPr>
            <w:r>
              <w:rPr>
                <w:rFonts w:hint="eastAsia" w:ascii="宋体" w:hAnsi="宋体" w:eastAsia="宋体"/>
                <w:b w:val="0"/>
                <w:color w:val="auto"/>
                <w:sz w:val="24"/>
                <w:highlight w:val="none"/>
                <w:lang w:eastAsia="zh-CN"/>
              </w:rPr>
              <w:t>其他</w:t>
            </w:r>
          </w:p>
        </w:tc>
        <w:tc>
          <w:tcPr>
            <w:tcW w:w="3649" w:type="pct"/>
            <w:vAlign w:val="center"/>
          </w:tcPr>
          <w:p>
            <w:pPr>
              <w:pStyle w:val="32"/>
              <w:widowControl w:val="0"/>
              <w:spacing w:before="0" w:beforeAutospacing="0" w:after="0" w:afterAutospacing="0" w:line="360" w:lineRule="auto"/>
              <w:jc w:val="both"/>
              <w:rPr>
                <w:rFonts w:hint="eastAsia" w:ascii="宋体" w:hAnsi="宋体" w:eastAsia="宋体"/>
                <w:b w:val="0"/>
                <w:color w:val="auto"/>
                <w:sz w:val="24"/>
                <w:highlight w:val="none"/>
              </w:rPr>
            </w:pPr>
            <w:r>
              <w:rPr>
                <w:rFonts w:hint="eastAsia" w:ascii="宋体" w:hAnsi="宋体" w:eastAsia="宋体"/>
                <w:b w:val="0"/>
                <w:color w:val="auto"/>
                <w:sz w:val="24"/>
                <w:highlight w:val="none"/>
              </w:rPr>
              <w:t>采购需求设备清单中</w:t>
            </w:r>
            <w:r>
              <w:rPr>
                <w:rFonts w:hint="eastAsia" w:ascii="宋体" w:hAnsi="宋体" w:eastAsia="宋体"/>
                <w:b w:val="0"/>
                <w:color w:val="auto"/>
                <w:sz w:val="24"/>
                <w:highlight w:val="none"/>
                <w:lang w:val="en-US" w:eastAsia="zh-CN"/>
              </w:rPr>
              <w:t>标</w:t>
            </w:r>
            <w:r>
              <w:rPr>
                <w:rFonts w:hint="eastAsia" w:ascii="宋体" w:hAnsi="宋体" w:eastAsia="宋体"/>
                <w:b w:val="0"/>
                <w:color w:val="auto"/>
                <w:sz w:val="24"/>
                <w:highlight w:val="none"/>
                <w:lang w:eastAsia="zh-CN"/>
              </w:rPr>
              <w:t>“■”</w:t>
            </w:r>
            <w:r>
              <w:rPr>
                <w:rFonts w:hint="eastAsia" w:ascii="宋体" w:hAnsi="宋体" w:eastAsia="宋体"/>
                <w:b w:val="0"/>
                <w:color w:val="auto"/>
                <w:sz w:val="24"/>
                <w:highlight w:val="none"/>
                <w:lang w:val="en-US" w:eastAsia="zh-CN"/>
              </w:rPr>
              <w:t>项</w:t>
            </w:r>
            <w:r>
              <w:rPr>
                <w:rFonts w:hint="eastAsia" w:ascii="宋体" w:hAnsi="宋体" w:eastAsia="宋体"/>
                <w:b w:val="0"/>
                <w:color w:val="auto"/>
                <w:sz w:val="24"/>
                <w:highlight w:val="none"/>
              </w:rPr>
              <w:t>设备搬迁前需购买保险。保险费用含在此次报价中，供应商在投标报价时应综合考虑。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11" w:type="pct"/>
            <w:vAlign w:val="center"/>
          </w:tcPr>
          <w:p>
            <w:pPr>
              <w:pStyle w:val="33"/>
              <w:pBdr>
                <w:bottom w:val="none" w:color="auto" w:sz="0" w:space="0"/>
              </w:pBdr>
              <w:tabs>
                <w:tab w:val="clear" w:pos="4153"/>
                <w:tab w:val="clear" w:pos="8306"/>
              </w:tabs>
              <w:adjustRightInd/>
              <w:spacing w:line="240" w:lineRule="auto"/>
              <w:textAlignment w:val="auto"/>
              <w:rPr>
                <w:rFonts w:hint="default" w:ascii="宋体" w:hAnsi="宋体" w:eastAsia="宋体"/>
                <w:bCs/>
                <w:color w:val="auto"/>
                <w:kern w:val="2"/>
                <w:highlight w:val="none"/>
                <w:lang w:val="en-US" w:eastAsia="zh-CN"/>
              </w:rPr>
            </w:pPr>
            <w:r>
              <w:rPr>
                <w:rFonts w:hint="eastAsia" w:ascii="宋体" w:hAnsi="宋体" w:eastAsia="宋体"/>
                <w:bCs/>
                <w:color w:val="auto"/>
                <w:kern w:val="2"/>
                <w:highlight w:val="none"/>
                <w:lang w:val="en-US" w:eastAsia="zh-CN"/>
              </w:rPr>
              <w:t>5</w:t>
            </w:r>
          </w:p>
        </w:tc>
        <w:tc>
          <w:tcPr>
            <w:tcW w:w="938" w:type="pct"/>
            <w:vAlign w:val="center"/>
          </w:tcPr>
          <w:p>
            <w:pPr>
              <w:pStyle w:val="32"/>
              <w:widowControl w:val="0"/>
              <w:spacing w:before="0" w:beforeAutospacing="0" w:after="0" w:afterAutospacing="0" w:line="240" w:lineRule="auto"/>
              <w:rPr>
                <w:rFonts w:hint="eastAsia" w:ascii="宋体" w:hAnsi="宋体" w:eastAsia="宋体"/>
                <w:b w:val="0"/>
                <w:color w:val="auto"/>
                <w:sz w:val="24"/>
                <w:highlight w:val="none"/>
                <w:lang w:eastAsia="zh-CN"/>
              </w:rPr>
            </w:pPr>
            <w:r>
              <w:rPr>
                <w:rFonts w:hint="eastAsia" w:ascii="宋体" w:hAnsi="宋体" w:eastAsia="宋体"/>
                <w:b w:val="0"/>
                <w:color w:val="auto"/>
                <w:sz w:val="24"/>
                <w:highlight w:val="none"/>
              </w:rPr>
              <w:t>本项目采购标的名称及所属行业</w:t>
            </w:r>
          </w:p>
        </w:tc>
        <w:tc>
          <w:tcPr>
            <w:tcW w:w="3649" w:type="pct"/>
            <w:vAlign w:val="center"/>
          </w:tcPr>
          <w:p>
            <w:pPr>
              <w:spacing w:line="360"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标的名称：</w:t>
            </w:r>
            <w:r>
              <w:rPr>
                <w:rFonts w:hint="eastAsia" w:asciiTheme="minorEastAsia" w:hAnsiTheme="minorEastAsia" w:eastAsiaTheme="minorEastAsia"/>
                <w:color w:val="auto"/>
                <w:sz w:val="24"/>
                <w:highlight w:val="none"/>
                <w:lang w:eastAsia="zh-CN"/>
              </w:rPr>
              <w:t>安徽交通职业技术学院航海系实训室搬迁项目</w:t>
            </w:r>
          </w:p>
          <w:p>
            <w:pPr>
              <w:rPr>
                <w:rFonts w:hint="eastAsia" w:ascii="宋体" w:hAnsi="宋体" w:eastAsia="宋体"/>
                <w:b w:val="0"/>
                <w:color w:val="auto"/>
                <w:sz w:val="24"/>
                <w:highlight w:val="none"/>
              </w:rPr>
            </w:pPr>
            <w:r>
              <w:rPr>
                <w:rFonts w:hint="eastAsia" w:asciiTheme="minorEastAsia" w:hAnsiTheme="minorEastAsia" w:eastAsiaTheme="minorEastAsia"/>
                <w:color w:val="auto"/>
                <w:sz w:val="24"/>
                <w:highlight w:val="none"/>
              </w:rPr>
              <w:t>所属行业：装卸搬运和仓储业</w:t>
            </w:r>
          </w:p>
        </w:tc>
      </w:tr>
    </w:tbl>
    <w:p>
      <w:pPr>
        <w:jc w:val="center"/>
        <w:rPr>
          <w:rFonts w:hint="eastAsia" w:ascii="仿宋_GB2312" w:hAnsi="仿宋_GB2312" w:eastAsia="仿宋_GB2312" w:cs="仿宋_GB2312"/>
          <w:b/>
          <w:bCs/>
          <w:color w:val="auto"/>
          <w:sz w:val="32"/>
          <w:szCs w:val="32"/>
          <w:highlight w:val="none"/>
        </w:rPr>
      </w:pPr>
    </w:p>
    <w:p>
      <w:pPr>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第一包：航海技术专业实训室搬迁</w:t>
      </w:r>
    </w:p>
    <w:p>
      <w:pPr>
        <w:spacing w:line="360" w:lineRule="auto"/>
        <w:jc w:val="left"/>
        <w:rPr>
          <w:rFonts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一、</w:t>
      </w:r>
      <w:r>
        <w:rPr>
          <w:rFonts w:hint="eastAsia" w:ascii="仿宋_GB2312" w:hAnsi="仿宋_GB2312" w:eastAsia="仿宋_GB2312" w:cs="仿宋_GB2312"/>
          <w:b/>
          <w:bCs/>
          <w:color w:val="auto"/>
          <w:sz w:val="24"/>
          <w:szCs w:val="24"/>
          <w:highlight w:val="none"/>
        </w:rPr>
        <w:t xml:space="preserve">搬迁要求 </w:t>
      </w:r>
    </w:p>
    <w:p>
      <w:pPr>
        <w:spacing w:line="360" w:lineRule="auto"/>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搬迁要求以以实训室为单位进行拆卸、包装、运输和安装调试工作</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要求自合肥市太湖东路22号（老校区）搬迁至新桥校区（新校区）指定实训室。</w:t>
      </w:r>
      <w:r>
        <w:rPr>
          <w:rFonts w:hint="eastAsia" w:ascii="仿宋_GB2312" w:hAnsi="仿宋_GB2312" w:eastAsia="仿宋_GB2312" w:cs="仿宋_GB2312"/>
          <w:color w:val="auto"/>
          <w:sz w:val="24"/>
          <w:szCs w:val="24"/>
          <w:highlight w:val="none"/>
        </w:rPr>
        <w:t>搬迁工作含</w:t>
      </w:r>
      <w:r>
        <w:rPr>
          <w:rFonts w:hint="eastAsia" w:ascii="仿宋_GB2312" w:hAnsi="仿宋_GB2312" w:eastAsia="仿宋_GB2312" w:cs="仿宋_GB2312"/>
          <w:color w:val="auto"/>
          <w:sz w:val="24"/>
          <w:szCs w:val="24"/>
          <w:highlight w:val="none"/>
          <w:lang w:eastAsia="zh-CN"/>
        </w:rPr>
        <w:t>老校区</w:t>
      </w:r>
      <w:r>
        <w:rPr>
          <w:rFonts w:hint="eastAsia" w:ascii="仿宋_GB2312" w:hAnsi="仿宋_GB2312" w:eastAsia="仿宋_GB2312" w:cs="仿宋_GB2312"/>
          <w:color w:val="auto"/>
          <w:sz w:val="24"/>
          <w:szCs w:val="24"/>
          <w:highlight w:val="none"/>
        </w:rPr>
        <w:t>实训</w:t>
      </w:r>
      <w:r>
        <w:rPr>
          <w:rFonts w:hint="eastAsia" w:ascii="仿宋_GB2312" w:hAnsi="仿宋_GB2312" w:eastAsia="仿宋_GB2312" w:cs="仿宋_GB2312"/>
          <w:color w:val="auto"/>
          <w:sz w:val="24"/>
          <w:szCs w:val="24"/>
          <w:highlight w:val="none"/>
          <w:lang w:eastAsia="zh-CN"/>
        </w:rPr>
        <w:t>室</w:t>
      </w:r>
      <w:r>
        <w:rPr>
          <w:rFonts w:hint="eastAsia" w:ascii="仿宋_GB2312" w:hAnsi="仿宋_GB2312" w:eastAsia="仿宋_GB2312" w:cs="仿宋_GB2312"/>
          <w:color w:val="auto"/>
          <w:sz w:val="24"/>
          <w:szCs w:val="24"/>
          <w:highlight w:val="none"/>
        </w:rPr>
        <w:t>内设备拆卸、包装、运输</w:t>
      </w:r>
      <w:r>
        <w:rPr>
          <w:rFonts w:hint="eastAsia" w:ascii="仿宋_GB2312" w:hAnsi="仿宋_GB2312" w:eastAsia="仿宋_GB2312" w:cs="仿宋_GB2312"/>
          <w:color w:val="auto"/>
          <w:sz w:val="24"/>
          <w:szCs w:val="24"/>
          <w:highlight w:val="none"/>
          <w:lang w:eastAsia="zh-CN"/>
        </w:rPr>
        <w:t>、新桥校区实训室</w:t>
      </w:r>
      <w:r>
        <w:rPr>
          <w:rFonts w:hint="eastAsia" w:ascii="仿宋_GB2312" w:hAnsi="仿宋_GB2312" w:eastAsia="仿宋_GB2312" w:cs="仿宋_GB2312"/>
          <w:color w:val="auto"/>
          <w:sz w:val="24"/>
          <w:szCs w:val="24"/>
          <w:highlight w:val="none"/>
        </w:rPr>
        <w:t>强弱电</w:t>
      </w:r>
      <w:r>
        <w:rPr>
          <w:rFonts w:hint="eastAsia" w:ascii="仿宋_GB2312" w:hAnsi="仿宋_GB2312" w:eastAsia="仿宋_GB2312" w:cs="仿宋_GB2312"/>
          <w:color w:val="auto"/>
          <w:sz w:val="24"/>
          <w:szCs w:val="24"/>
          <w:highlight w:val="none"/>
          <w:lang w:eastAsia="zh-CN"/>
        </w:rPr>
        <w:t>接线以及搬迁设备在新桥校区实训室的</w:t>
      </w:r>
      <w:r>
        <w:rPr>
          <w:rFonts w:hint="eastAsia" w:ascii="仿宋_GB2312" w:hAnsi="仿宋_GB2312" w:eastAsia="仿宋_GB2312" w:cs="仿宋_GB2312"/>
          <w:color w:val="auto"/>
          <w:sz w:val="24"/>
          <w:szCs w:val="24"/>
          <w:highlight w:val="none"/>
        </w:rPr>
        <w:t>安装、调试</w:t>
      </w:r>
      <w:r>
        <w:rPr>
          <w:rFonts w:hint="eastAsia" w:ascii="仿宋_GB2312" w:hAnsi="仿宋_GB2312" w:eastAsia="仿宋_GB2312" w:cs="仿宋_GB2312"/>
          <w:color w:val="auto"/>
          <w:sz w:val="24"/>
          <w:szCs w:val="24"/>
          <w:highlight w:val="none"/>
          <w:lang w:eastAsia="zh-CN"/>
        </w:rPr>
        <w:t>和</w:t>
      </w:r>
      <w:r>
        <w:rPr>
          <w:rFonts w:hint="eastAsia" w:ascii="仿宋_GB2312" w:hAnsi="仿宋_GB2312" w:eastAsia="仿宋_GB2312" w:cs="仿宋_GB2312"/>
          <w:color w:val="auto"/>
          <w:sz w:val="24"/>
          <w:szCs w:val="24"/>
          <w:highlight w:val="none"/>
        </w:rPr>
        <w:t>设备</w:t>
      </w:r>
      <w:r>
        <w:rPr>
          <w:rFonts w:hint="eastAsia" w:ascii="仿宋_GB2312" w:hAnsi="仿宋_GB2312" w:eastAsia="仿宋_GB2312" w:cs="仿宋_GB2312"/>
          <w:color w:val="auto"/>
          <w:sz w:val="24"/>
          <w:szCs w:val="24"/>
          <w:highlight w:val="none"/>
          <w:lang w:eastAsia="zh-CN"/>
        </w:rPr>
        <w:t>正常</w:t>
      </w:r>
      <w:r>
        <w:rPr>
          <w:rFonts w:hint="eastAsia" w:ascii="仿宋_GB2312" w:hAnsi="仿宋_GB2312" w:eastAsia="仿宋_GB2312" w:cs="仿宋_GB2312"/>
          <w:color w:val="auto"/>
          <w:sz w:val="24"/>
          <w:szCs w:val="24"/>
          <w:highlight w:val="none"/>
        </w:rPr>
        <w:t>运行。要求将设备搬</w:t>
      </w:r>
      <w:r>
        <w:rPr>
          <w:rFonts w:hint="eastAsia" w:ascii="仿宋_GB2312" w:hAnsi="仿宋_GB2312" w:eastAsia="仿宋_GB2312" w:cs="仿宋_GB2312"/>
          <w:color w:val="auto"/>
          <w:sz w:val="24"/>
          <w:szCs w:val="24"/>
          <w:highlight w:val="none"/>
          <w:lang w:eastAsia="zh-CN"/>
        </w:rPr>
        <w:t>运</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z w:val="24"/>
          <w:szCs w:val="24"/>
          <w:highlight w:val="none"/>
          <w:lang w:eastAsia="zh-CN"/>
        </w:rPr>
        <w:t>新桥校区指定实训室</w:t>
      </w:r>
      <w:r>
        <w:rPr>
          <w:rFonts w:hint="eastAsia" w:ascii="仿宋_GB2312" w:hAnsi="仿宋_GB2312" w:eastAsia="仿宋_GB2312" w:cs="仿宋_GB2312"/>
          <w:color w:val="auto"/>
          <w:sz w:val="24"/>
          <w:szCs w:val="24"/>
          <w:highlight w:val="none"/>
        </w:rPr>
        <w:t>内，搬迁</w:t>
      </w:r>
      <w:r>
        <w:rPr>
          <w:rFonts w:hint="eastAsia" w:ascii="仿宋_GB2312" w:hAnsi="仿宋_GB2312" w:eastAsia="仿宋_GB2312" w:cs="仿宋_GB2312"/>
          <w:color w:val="auto"/>
          <w:sz w:val="24"/>
          <w:szCs w:val="24"/>
          <w:highlight w:val="none"/>
          <w:lang w:eastAsia="zh-CN"/>
        </w:rPr>
        <w:t>运输</w:t>
      </w:r>
      <w:r>
        <w:rPr>
          <w:rFonts w:hint="eastAsia" w:ascii="仿宋_GB2312" w:hAnsi="仿宋_GB2312" w:eastAsia="仿宋_GB2312" w:cs="仿宋_GB2312"/>
          <w:color w:val="auto"/>
          <w:sz w:val="24"/>
          <w:szCs w:val="24"/>
          <w:highlight w:val="none"/>
        </w:rPr>
        <w:t>过程中</w:t>
      </w:r>
      <w:r>
        <w:rPr>
          <w:rFonts w:hint="eastAsia" w:ascii="仿宋_GB2312" w:hAnsi="仿宋_GB2312" w:eastAsia="仿宋_GB2312" w:cs="仿宋_GB2312"/>
          <w:color w:val="auto"/>
          <w:sz w:val="24"/>
          <w:szCs w:val="24"/>
          <w:highlight w:val="none"/>
          <w:lang w:eastAsia="zh-CN"/>
        </w:rPr>
        <w:t>确保</w:t>
      </w:r>
      <w:r>
        <w:rPr>
          <w:rFonts w:hint="eastAsia" w:ascii="仿宋_GB2312" w:hAnsi="仿宋_GB2312" w:eastAsia="仿宋_GB2312" w:cs="仿宋_GB2312"/>
          <w:color w:val="auto"/>
          <w:sz w:val="24"/>
          <w:szCs w:val="24"/>
          <w:highlight w:val="none"/>
        </w:rPr>
        <w:t>设备</w:t>
      </w:r>
      <w:r>
        <w:rPr>
          <w:rFonts w:hint="eastAsia" w:ascii="仿宋_GB2312" w:hAnsi="仿宋_GB2312" w:eastAsia="仿宋_GB2312" w:cs="仿宋_GB2312"/>
          <w:color w:val="auto"/>
          <w:sz w:val="24"/>
          <w:szCs w:val="24"/>
          <w:highlight w:val="none"/>
          <w:lang w:eastAsia="zh-CN"/>
        </w:rPr>
        <w:t>的安全和</w:t>
      </w:r>
      <w:r>
        <w:rPr>
          <w:rFonts w:hint="eastAsia" w:ascii="仿宋_GB2312" w:hAnsi="仿宋_GB2312" w:eastAsia="仿宋_GB2312" w:cs="仿宋_GB2312"/>
          <w:color w:val="auto"/>
          <w:sz w:val="24"/>
          <w:szCs w:val="24"/>
          <w:highlight w:val="none"/>
        </w:rPr>
        <w:t>无损坏，搬迁</w:t>
      </w:r>
      <w:r>
        <w:rPr>
          <w:rFonts w:hint="eastAsia" w:ascii="仿宋_GB2312" w:hAnsi="仿宋_GB2312" w:eastAsia="仿宋_GB2312" w:cs="仿宋_GB2312"/>
          <w:color w:val="auto"/>
          <w:sz w:val="24"/>
          <w:szCs w:val="24"/>
          <w:highlight w:val="none"/>
          <w:lang w:eastAsia="zh-CN"/>
        </w:rPr>
        <w:t>到位</w:t>
      </w:r>
      <w:r>
        <w:rPr>
          <w:rFonts w:hint="eastAsia" w:ascii="仿宋_GB2312" w:hAnsi="仿宋_GB2312" w:eastAsia="仿宋_GB2312" w:cs="仿宋_GB2312"/>
          <w:color w:val="auto"/>
          <w:sz w:val="24"/>
          <w:szCs w:val="24"/>
          <w:highlight w:val="none"/>
        </w:rPr>
        <w:t>后的实训室恢复原有功能，能正常开展实训授课。</w:t>
      </w:r>
    </w:p>
    <w:p>
      <w:pPr>
        <w:spacing w:line="360" w:lineRule="auto"/>
        <w:ind w:firstLine="480" w:firstLineChars="200"/>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具体要求如下：</w:t>
      </w:r>
    </w:p>
    <w:p>
      <w:pPr>
        <w:spacing w:line="360" w:lineRule="auto"/>
        <w:ind w:firstLine="435"/>
        <w:rPr>
          <w:rFonts w:ascii="宋体" w:hAnsi="宋体" w:cs="宋体"/>
          <w:color w:val="auto"/>
          <w:sz w:val="24"/>
          <w:highlight w:val="none"/>
        </w:rPr>
      </w:pPr>
      <w:r>
        <w:rPr>
          <w:rFonts w:hint="eastAsia" w:ascii="仿宋_GB2312" w:hAnsi="仿宋_GB2312" w:eastAsia="仿宋_GB2312" w:cs="仿宋_GB2312"/>
          <w:color w:val="auto"/>
          <w:sz w:val="24"/>
          <w:szCs w:val="24"/>
          <w:highlight w:val="none"/>
        </w:rPr>
        <w:t>1、制定方案：搬迁服务供应商应提供详细的拆卸、搬迁及安装调试方案，制定搬迁步骤及注意事项，针对搬迁中的重点难点问题制定应急措施以及安全保障措施，</w:t>
      </w:r>
      <w:r>
        <w:rPr>
          <w:rFonts w:hint="eastAsia" w:ascii="宋体" w:hAnsi="宋体" w:cs="宋体"/>
          <w:color w:val="auto"/>
          <w:sz w:val="24"/>
          <w:highlight w:val="none"/>
        </w:rPr>
        <w:t>按照平面图组织小组成员到新址进行实际场地考察,对各</w:t>
      </w:r>
      <w:r>
        <w:rPr>
          <w:rFonts w:hint="eastAsia" w:ascii="宋体" w:hAnsi="宋体" w:cs="宋体"/>
          <w:color w:val="auto"/>
          <w:sz w:val="24"/>
          <w:highlight w:val="none"/>
          <w:lang w:eastAsia="zh-CN"/>
        </w:rPr>
        <w:t>实训</w:t>
      </w:r>
      <w:r>
        <w:rPr>
          <w:rFonts w:hint="eastAsia" w:ascii="宋体" w:hAnsi="宋体" w:cs="宋体"/>
          <w:color w:val="auto"/>
          <w:sz w:val="24"/>
          <w:highlight w:val="none"/>
        </w:rPr>
        <w:t>室新址进行迁入前实验室环境查检查情况并且进行确认用，单位有相关图纸则严格按照用户单位要求进行安装，所有方案经采购人同意后方可进场实施。</w:t>
      </w:r>
    </w:p>
    <w:p>
      <w:pPr>
        <w:spacing w:line="360" w:lineRule="auto"/>
        <w:ind w:firstLine="435"/>
        <w:rPr>
          <w:rFonts w:ascii="宋体" w:hAnsi="宋体" w:cs="宋体"/>
          <w:color w:val="auto"/>
          <w:sz w:val="24"/>
          <w:highlight w:val="none"/>
        </w:rPr>
      </w:pPr>
      <w:r>
        <w:rPr>
          <w:rFonts w:hint="eastAsia" w:ascii="仿宋_GB2312" w:hAnsi="仿宋_GB2312" w:eastAsia="仿宋_GB2312" w:cs="仿宋_GB2312"/>
          <w:color w:val="auto"/>
          <w:sz w:val="24"/>
          <w:szCs w:val="24"/>
          <w:highlight w:val="none"/>
        </w:rPr>
        <w:t>2、</w:t>
      </w:r>
      <w:r>
        <w:rPr>
          <w:rFonts w:hint="eastAsia" w:ascii="宋体" w:hAnsi="宋体" w:cs="宋体"/>
          <w:color w:val="auto"/>
          <w:sz w:val="24"/>
          <w:highlight w:val="none"/>
        </w:rPr>
        <w:t>清点核对：需搬迁的资产，在搬迁前后应仔细核对帐物，防止遗漏、丢失，由采购人负责监督，</w:t>
      </w:r>
      <w:r>
        <w:rPr>
          <w:rFonts w:hint="eastAsia" w:ascii="宋体" w:hAnsi="宋体" w:cs="宋体"/>
          <w:color w:val="auto"/>
          <w:sz w:val="24"/>
          <w:highlight w:val="none"/>
          <w:lang w:eastAsia="zh-CN"/>
        </w:rPr>
        <w:t>搬迁前中标单位</w:t>
      </w:r>
      <w:r>
        <w:rPr>
          <w:rFonts w:hint="eastAsia" w:ascii="宋体" w:hAnsi="宋体" w:cs="宋体"/>
          <w:color w:val="auto"/>
          <w:sz w:val="24"/>
          <w:highlight w:val="none"/>
        </w:rPr>
        <w:t>清点资产</w:t>
      </w:r>
      <w:r>
        <w:rPr>
          <w:rFonts w:hint="eastAsia" w:ascii="宋体" w:hAnsi="宋体" w:cs="宋体"/>
          <w:color w:val="auto"/>
          <w:sz w:val="24"/>
          <w:highlight w:val="none"/>
          <w:lang w:eastAsia="zh-CN"/>
        </w:rPr>
        <w:t>后</w:t>
      </w:r>
      <w:r>
        <w:rPr>
          <w:rFonts w:hint="eastAsia" w:ascii="宋体" w:hAnsi="宋体" w:cs="宋体"/>
          <w:color w:val="auto"/>
          <w:sz w:val="24"/>
          <w:highlight w:val="none"/>
        </w:rPr>
        <w:t>签字认可接受搬迁的资产。搬迁前应做好各方面准备，所有需搬迁设备登记备案，并在设备上做好相应标记。其中还包括仪器设备的检查：</w:t>
      </w:r>
    </w:p>
    <w:p>
      <w:pPr>
        <w:spacing w:line="360" w:lineRule="auto"/>
        <w:ind w:firstLine="435"/>
        <w:rPr>
          <w:rFonts w:ascii="宋体" w:hAnsi="宋体" w:cs="宋体"/>
          <w:color w:val="auto"/>
          <w:sz w:val="24"/>
          <w:highlight w:val="none"/>
        </w:rPr>
      </w:pPr>
      <w:r>
        <w:rPr>
          <w:rFonts w:hint="eastAsia" w:ascii="宋体" w:hAnsi="宋体" w:cs="宋体"/>
          <w:color w:val="auto"/>
          <w:sz w:val="24"/>
          <w:highlight w:val="none"/>
        </w:rPr>
        <w:t xml:space="preserve">①检验仪器设备的外观; </w:t>
      </w:r>
    </w:p>
    <w:p>
      <w:pPr>
        <w:spacing w:line="360" w:lineRule="auto"/>
        <w:ind w:firstLine="435"/>
        <w:rPr>
          <w:rFonts w:ascii="宋体" w:hAnsi="宋体" w:cs="宋体"/>
          <w:color w:val="auto"/>
          <w:sz w:val="24"/>
          <w:highlight w:val="none"/>
        </w:rPr>
      </w:pPr>
      <w:r>
        <w:rPr>
          <w:rFonts w:hint="eastAsia" w:ascii="宋体" w:hAnsi="宋体" w:cs="宋体"/>
          <w:color w:val="auto"/>
          <w:sz w:val="24"/>
          <w:highlight w:val="none"/>
        </w:rPr>
        <w:t>②确认仪器设备的技术参数、现行工作状态;</w:t>
      </w:r>
    </w:p>
    <w:p>
      <w:pPr>
        <w:spacing w:line="360" w:lineRule="auto"/>
        <w:ind w:firstLine="435"/>
        <w:rPr>
          <w:rFonts w:ascii="宋体" w:hAnsi="宋体" w:cs="宋体"/>
          <w:color w:val="auto"/>
          <w:sz w:val="24"/>
          <w:highlight w:val="none"/>
        </w:rPr>
      </w:pPr>
      <w:r>
        <w:rPr>
          <w:rFonts w:hint="eastAsia" w:ascii="宋体" w:hAnsi="宋体" w:cs="宋体"/>
          <w:color w:val="auto"/>
          <w:sz w:val="24"/>
          <w:highlight w:val="none"/>
        </w:rPr>
        <w:t>③检查仪器设备是否符合安全拆卸、搬运条件;</w:t>
      </w:r>
    </w:p>
    <w:p>
      <w:pPr>
        <w:spacing w:line="360" w:lineRule="auto"/>
        <w:ind w:firstLine="435"/>
        <w:rPr>
          <w:rFonts w:ascii="宋体" w:hAnsi="宋体" w:cs="宋体"/>
          <w:color w:val="auto"/>
          <w:sz w:val="24"/>
          <w:highlight w:val="none"/>
        </w:rPr>
      </w:pPr>
      <w:r>
        <w:rPr>
          <w:rFonts w:hint="eastAsia" w:ascii="宋体" w:hAnsi="宋体" w:cs="宋体"/>
          <w:color w:val="auto"/>
          <w:sz w:val="24"/>
          <w:highlight w:val="none"/>
        </w:rPr>
        <w:t>④检查仪器设备有无安装附件;</w:t>
      </w:r>
    </w:p>
    <w:p>
      <w:pPr>
        <w:spacing w:line="360" w:lineRule="auto"/>
        <w:ind w:firstLine="435"/>
        <w:rPr>
          <w:rFonts w:hint="eastAsia" w:ascii="宋体" w:hAnsi="宋体" w:cs="宋体"/>
          <w:color w:val="auto"/>
          <w:sz w:val="24"/>
          <w:highlight w:val="none"/>
        </w:rPr>
      </w:pPr>
      <w:r>
        <w:rPr>
          <w:rFonts w:hint="eastAsia" w:ascii="宋体" w:hAnsi="宋体" w:cs="宋体"/>
          <w:color w:val="auto"/>
          <w:sz w:val="24"/>
          <w:highlight w:val="none"/>
        </w:rPr>
        <w:t>⑤对结构复杂、专用仪器设备以及外观有破损的仪器设备进行拍照确认。具体搬迁的物品及数量见搬迁物品明细表。</w:t>
      </w:r>
    </w:p>
    <w:p>
      <w:pPr>
        <w:spacing w:line="360" w:lineRule="auto"/>
        <w:ind w:firstLine="435"/>
        <w:rPr>
          <w:rFonts w:ascii="宋体" w:hAnsi="宋体" w:cs="宋体"/>
          <w:color w:val="auto"/>
          <w:sz w:val="24"/>
          <w:highlight w:val="none"/>
        </w:rPr>
      </w:pPr>
      <w:r>
        <w:rPr>
          <w:rFonts w:hint="eastAsia" w:ascii="仿宋_GB2312" w:hAnsi="仿宋_GB2312" w:eastAsia="仿宋_GB2312" w:cs="仿宋_GB2312"/>
          <w:color w:val="auto"/>
          <w:sz w:val="24"/>
          <w:szCs w:val="24"/>
          <w:highlight w:val="none"/>
        </w:rPr>
        <w:t>3、设备拆</w:t>
      </w:r>
      <w:r>
        <w:rPr>
          <w:rFonts w:hint="eastAsia" w:ascii="仿宋_GB2312" w:hAnsi="仿宋_GB2312" w:eastAsia="仿宋_GB2312" w:cs="仿宋_GB2312"/>
          <w:color w:val="auto"/>
          <w:sz w:val="24"/>
          <w:szCs w:val="24"/>
          <w:highlight w:val="none"/>
          <w:lang w:eastAsia="zh-CN"/>
        </w:rPr>
        <w:t>卸</w:t>
      </w:r>
      <w:r>
        <w:rPr>
          <w:rFonts w:hint="eastAsia" w:ascii="仿宋_GB2312" w:hAnsi="仿宋_GB2312" w:eastAsia="仿宋_GB2312" w:cs="仿宋_GB2312"/>
          <w:color w:val="auto"/>
          <w:sz w:val="24"/>
          <w:szCs w:val="24"/>
          <w:highlight w:val="none"/>
        </w:rPr>
        <w:t>：</w:t>
      </w:r>
      <w:r>
        <w:rPr>
          <w:rFonts w:hint="eastAsia" w:ascii="宋体" w:hAnsi="宋体" w:cs="宋体"/>
          <w:color w:val="auto"/>
          <w:sz w:val="24"/>
          <w:highlight w:val="none"/>
        </w:rPr>
        <w:t>根据采购人要求，按时将需搬迁的所有设备，按照规定拆除，同时做好相应标记，分类放置。专业性、技术性强的设备拆装需要设备厂家技术人员现场指导，由成交供应商负责联系落实，并承担厂家技术人员的一切费用。所有参加施工人员均应熟悉现场安全操作区域、了解搬迁流程做到安全施工、保证仪器设备安全拆卸,封包搬运。</w:t>
      </w:r>
    </w:p>
    <w:p>
      <w:pPr>
        <w:spacing w:line="360" w:lineRule="auto"/>
        <w:ind w:firstLine="435"/>
        <w:rPr>
          <w:rFonts w:ascii="宋体" w:hAnsi="宋体" w:cs="宋体"/>
          <w:color w:val="auto"/>
          <w:sz w:val="24"/>
          <w:highlight w:val="none"/>
        </w:rPr>
      </w:pPr>
      <w:r>
        <w:rPr>
          <w:rFonts w:hint="eastAsia" w:ascii="仿宋_GB2312" w:hAnsi="仿宋_GB2312" w:eastAsia="仿宋_GB2312" w:cs="仿宋_GB2312"/>
          <w:color w:val="auto"/>
          <w:sz w:val="24"/>
          <w:szCs w:val="24"/>
          <w:highlight w:val="none"/>
        </w:rPr>
        <w:t>4、</w:t>
      </w:r>
      <w:r>
        <w:rPr>
          <w:rFonts w:hint="eastAsia" w:ascii="仿宋_GB2312" w:hAnsi="仿宋_GB2312" w:eastAsia="仿宋_GB2312" w:cs="仿宋_GB2312"/>
          <w:color w:val="auto"/>
          <w:sz w:val="24"/>
          <w:szCs w:val="24"/>
          <w:highlight w:val="none"/>
          <w:lang w:eastAsia="zh-CN"/>
        </w:rPr>
        <w:t>打包：</w:t>
      </w:r>
      <w:r>
        <w:rPr>
          <w:rFonts w:hint="eastAsia" w:ascii="宋体" w:hAnsi="宋体" w:cs="宋体"/>
          <w:color w:val="auto"/>
          <w:sz w:val="24"/>
          <w:highlight w:val="none"/>
        </w:rPr>
        <w:t>需要成交</w:t>
      </w:r>
      <w:r>
        <w:rPr>
          <w:rFonts w:hint="eastAsia" w:ascii="宋体" w:hAnsi="宋体" w:cs="宋体"/>
          <w:color w:val="auto"/>
          <w:sz w:val="24"/>
          <w:highlight w:val="none"/>
          <w:lang w:eastAsia="zh-CN"/>
        </w:rPr>
        <w:t>中标单位</w:t>
      </w:r>
      <w:r>
        <w:rPr>
          <w:rFonts w:hint="eastAsia" w:ascii="宋体" w:hAnsi="宋体" w:cs="宋体"/>
          <w:color w:val="auto"/>
          <w:sz w:val="24"/>
          <w:highlight w:val="none"/>
        </w:rPr>
        <w:t>自备包装相关材料，以实训室或系统为单位，由采购人相关实训室负责人负责监督，</w:t>
      </w:r>
      <w:r>
        <w:rPr>
          <w:rFonts w:hint="eastAsia" w:ascii="宋体" w:hAnsi="宋体" w:cs="宋体"/>
          <w:color w:val="auto"/>
          <w:sz w:val="24"/>
          <w:highlight w:val="none"/>
          <w:lang w:eastAsia="zh-CN"/>
        </w:rPr>
        <w:t>中标单位</w:t>
      </w:r>
      <w:r>
        <w:rPr>
          <w:rFonts w:hint="eastAsia" w:ascii="宋体" w:hAnsi="宋体" w:cs="宋体"/>
          <w:color w:val="auto"/>
          <w:sz w:val="24"/>
          <w:highlight w:val="none"/>
        </w:rPr>
        <w:t>进行打包并在每个包装盒外贴资产标签，清点资产进行登记。各种标识和定位标记，必须标识清晰,粘贴必须牢靠,以免因</w:t>
      </w:r>
      <w:r>
        <w:rPr>
          <w:rFonts w:hint="eastAsia" w:ascii="宋体" w:hAnsi="宋体" w:cs="宋体"/>
          <w:color w:val="auto"/>
          <w:sz w:val="24"/>
          <w:highlight w:val="none"/>
          <w:lang w:eastAsia="zh-CN"/>
        </w:rPr>
        <w:t>搬运、装卸和</w:t>
      </w:r>
      <w:r>
        <w:rPr>
          <w:rFonts w:hint="eastAsia" w:ascii="宋体" w:hAnsi="宋体" w:cs="宋体"/>
          <w:color w:val="auto"/>
          <w:sz w:val="24"/>
          <w:highlight w:val="none"/>
        </w:rPr>
        <w:t>运输等原因</w:t>
      </w:r>
      <w:r>
        <w:rPr>
          <w:rFonts w:hint="eastAsia" w:ascii="宋体" w:hAnsi="宋体" w:cs="宋体"/>
          <w:color w:val="auto"/>
          <w:sz w:val="24"/>
          <w:highlight w:val="none"/>
          <w:lang w:eastAsia="zh-CN"/>
        </w:rPr>
        <w:t>造成</w:t>
      </w:r>
      <w:r>
        <w:rPr>
          <w:rFonts w:hint="eastAsia" w:ascii="宋体" w:hAnsi="宋体" w:cs="宋体"/>
          <w:color w:val="auto"/>
          <w:sz w:val="24"/>
          <w:highlight w:val="none"/>
        </w:rPr>
        <w:t>损坏和模糊,影响安装。</w:t>
      </w:r>
    </w:p>
    <w:p>
      <w:pPr>
        <w:spacing w:line="360" w:lineRule="auto"/>
        <w:ind w:firstLine="435"/>
        <w:rPr>
          <w:color w:val="auto"/>
          <w:highlight w:val="none"/>
        </w:rPr>
      </w:pPr>
      <w:r>
        <w:rPr>
          <w:rFonts w:hint="eastAsia" w:ascii="仿宋_GB2312" w:hAnsi="仿宋_GB2312" w:eastAsia="仿宋_GB2312" w:cs="仿宋_GB2312"/>
          <w:color w:val="auto"/>
          <w:sz w:val="24"/>
          <w:szCs w:val="24"/>
          <w:highlight w:val="none"/>
        </w:rPr>
        <w:t>5、</w:t>
      </w:r>
      <w:r>
        <w:rPr>
          <w:rFonts w:hint="eastAsia" w:ascii="仿宋_GB2312" w:hAnsi="仿宋_GB2312" w:eastAsia="仿宋_GB2312" w:cs="仿宋_GB2312"/>
          <w:color w:val="auto"/>
          <w:sz w:val="24"/>
          <w:szCs w:val="24"/>
          <w:highlight w:val="none"/>
          <w:lang w:eastAsia="zh-CN"/>
        </w:rPr>
        <w:t>运输</w:t>
      </w:r>
      <w:r>
        <w:rPr>
          <w:rFonts w:hint="eastAsia" w:ascii="仿宋_GB2312" w:hAnsi="仿宋_GB2312" w:eastAsia="仿宋_GB2312" w:cs="仿宋_GB2312"/>
          <w:color w:val="auto"/>
          <w:sz w:val="24"/>
          <w:szCs w:val="24"/>
          <w:highlight w:val="none"/>
        </w:rPr>
        <w:t>：</w:t>
      </w:r>
      <w:r>
        <w:rPr>
          <w:rFonts w:hint="eastAsia" w:ascii="宋体" w:hAnsi="宋体" w:cs="宋体"/>
          <w:color w:val="auto"/>
          <w:sz w:val="24"/>
          <w:highlight w:val="none"/>
        </w:rPr>
        <w:t>搬运分物品搬运上车阶段、运输阶段、卸货搬运至指定空间（指定实训室或教室空间内）阶段，该过程由成交供应商负责。在运输过程中全程跟人[装车、卸车、摆放</w:t>
      </w:r>
      <w:r>
        <w:rPr>
          <w:rFonts w:ascii="宋体" w:hAnsi="宋体" w:cs="宋体"/>
          <w:color w:val="auto"/>
          <w:sz w:val="24"/>
          <w:highlight w:val="none"/>
        </w:rPr>
        <w:t>]</w:t>
      </w:r>
      <w:r>
        <w:rPr>
          <w:rFonts w:hint="eastAsia" w:ascii="宋体" w:hAnsi="宋体" w:cs="宋体"/>
          <w:color w:val="auto"/>
          <w:sz w:val="24"/>
          <w:highlight w:val="none"/>
        </w:rPr>
        <w:t>整个过程不离人,保证物品无损、无遗失;在搬迁运输过程中,对重要、易损的部位、物件做好防护。大型设备与</w:t>
      </w:r>
      <w:r>
        <w:rPr>
          <w:rFonts w:hint="eastAsia" w:ascii="宋体" w:hAnsi="宋体" w:cs="宋体"/>
          <w:color w:val="auto"/>
          <w:sz w:val="24"/>
          <w:highlight w:val="none"/>
          <w:lang w:eastAsia="zh-CN"/>
        </w:rPr>
        <w:t>救生艇装置</w:t>
      </w:r>
      <w:r>
        <w:rPr>
          <w:rFonts w:hint="eastAsia" w:ascii="宋体" w:hAnsi="宋体" w:cs="宋体"/>
          <w:color w:val="auto"/>
          <w:sz w:val="24"/>
          <w:highlight w:val="none"/>
        </w:rPr>
        <w:t>，应选择专用货车运输，防止运输过程中造成损伤（如有损坏按价赔偿）。</w:t>
      </w:r>
    </w:p>
    <w:p>
      <w:pPr>
        <w:spacing w:line="360" w:lineRule="auto"/>
        <w:ind w:firstLine="435"/>
        <w:rPr>
          <w:rFonts w:ascii="宋体" w:hAnsi="宋体" w:cs="宋体"/>
          <w:color w:val="auto"/>
          <w:sz w:val="24"/>
          <w:highlight w:val="none"/>
        </w:rPr>
      </w:pPr>
      <w:r>
        <w:rPr>
          <w:rFonts w:hint="eastAsia" w:ascii="仿宋_GB2312" w:hAnsi="仿宋_GB2312" w:eastAsia="仿宋_GB2312" w:cs="仿宋_GB2312"/>
          <w:color w:val="auto"/>
          <w:sz w:val="24"/>
          <w:szCs w:val="24"/>
          <w:highlight w:val="none"/>
        </w:rPr>
        <w:t>6、拆箱：</w:t>
      </w:r>
      <w:r>
        <w:rPr>
          <w:rFonts w:hint="eastAsia" w:ascii="宋体" w:hAnsi="宋体" w:cs="宋体"/>
          <w:color w:val="auto"/>
          <w:sz w:val="24"/>
          <w:highlight w:val="none"/>
        </w:rPr>
        <w:t>搬迁服务</w:t>
      </w:r>
      <w:r>
        <w:rPr>
          <w:rFonts w:hint="eastAsia" w:ascii="宋体" w:hAnsi="宋体" w:cs="宋体"/>
          <w:color w:val="auto"/>
          <w:sz w:val="24"/>
          <w:highlight w:val="none"/>
          <w:lang w:eastAsia="zh-CN"/>
        </w:rPr>
        <w:t>中标单位</w:t>
      </w:r>
      <w:r>
        <w:rPr>
          <w:rFonts w:hint="eastAsia" w:ascii="宋体" w:hAnsi="宋体" w:cs="宋体"/>
          <w:color w:val="auto"/>
          <w:sz w:val="24"/>
          <w:highlight w:val="none"/>
        </w:rPr>
        <w:t>搬迁至采购人指定地点（实训室、教室或办公室）安全运送到位，并由该区域负责人监督拆卸过程，并检查搬迁物品是否完好。拆卸仪器设备时,必须先熟悉相关图纸及设备,禁止盲目操作且须注意不得损坏设备及设施。</w:t>
      </w:r>
      <w:r>
        <w:rPr>
          <w:rFonts w:hint="eastAsia" w:ascii="宋体" w:hAnsi="宋体" w:cs="宋体"/>
          <w:color w:val="auto"/>
          <w:sz w:val="24"/>
          <w:highlight w:val="none"/>
          <w:lang w:eastAsia="zh-CN"/>
        </w:rPr>
        <w:t>中标方</w:t>
      </w:r>
      <w:r>
        <w:rPr>
          <w:rFonts w:hint="eastAsia" w:ascii="宋体" w:hAnsi="宋体" w:cs="宋体"/>
          <w:color w:val="auto"/>
          <w:sz w:val="24"/>
          <w:highlight w:val="none"/>
        </w:rPr>
        <w:t>现场应配备专职安检员，及时检查和清除不安全因素：做到文明施工，及时清理现场和废物。</w:t>
      </w:r>
    </w:p>
    <w:p>
      <w:pPr>
        <w:spacing w:line="360" w:lineRule="auto"/>
        <w:ind w:firstLine="480" w:firstLineChars="200"/>
        <w:jc w:val="left"/>
        <w:rPr>
          <w:rFonts w:ascii="仿宋_GB2312" w:hAnsi="仿宋_GB2312" w:eastAsia="仿宋_GB2312" w:cs="仿宋_GB2312"/>
          <w:color w:val="auto"/>
          <w:sz w:val="24"/>
          <w:szCs w:val="24"/>
          <w:highlight w:val="none"/>
        </w:rPr>
      </w:pPr>
      <w:r>
        <w:rPr>
          <w:rFonts w:hint="eastAsia" w:ascii="宋体" w:hAnsi="宋体" w:cs="宋体"/>
          <w:color w:val="auto"/>
          <w:sz w:val="24"/>
          <w:highlight w:val="none"/>
        </w:rPr>
        <w:t>7</w:t>
      </w:r>
      <w:r>
        <w:rPr>
          <w:rFonts w:hint="eastAsia" w:ascii="宋体" w:hAnsi="宋体" w:cs="宋体"/>
          <w:color w:val="auto"/>
          <w:sz w:val="24"/>
          <w:highlight w:val="none"/>
          <w:lang w:eastAsia="zh-CN"/>
        </w:rPr>
        <w:t>、</w:t>
      </w:r>
      <w:r>
        <w:rPr>
          <w:rFonts w:ascii="宋体" w:hAnsi="宋体" w:cs="宋体"/>
          <w:color w:val="auto"/>
          <w:sz w:val="24"/>
          <w:highlight w:val="none"/>
        </w:rPr>
        <w:t>超</w:t>
      </w:r>
      <w:r>
        <w:rPr>
          <w:rFonts w:hint="eastAsia" w:ascii="宋体" w:hAnsi="宋体" w:cs="宋体"/>
          <w:color w:val="auto"/>
          <w:sz w:val="24"/>
          <w:highlight w:val="none"/>
          <w:lang w:eastAsia="zh-CN"/>
        </w:rPr>
        <w:t>长超</w:t>
      </w:r>
      <w:r>
        <w:rPr>
          <w:rFonts w:ascii="宋体" w:hAnsi="宋体" w:cs="宋体"/>
          <w:color w:val="auto"/>
          <w:sz w:val="24"/>
          <w:highlight w:val="none"/>
        </w:rPr>
        <w:t>重物品</w:t>
      </w:r>
      <w:r>
        <w:rPr>
          <w:rFonts w:hint="eastAsia" w:ascii="宋体" w:hAnsi="宋体" w:cs="宋体"/>
          <w:color w:val="auto"/>
          <w:sz w:val="24"/>
          <w:highlight w:val="none"/>
          <w:lang w:eastAsia="zh-CN"/>
        </w:rPr>
        <w:t>：</w:t>
      </w:r>
      <w:r>
        <w:rPr>
          <w:rFonts w:ascii="宋体" w:hAnsi="宋体" w:cs="宋体"/>
          <w:color w:val="auto"/>
          <w:sz w:val="24"/>
          <w:highlight w:val="none"/>
        </w:rPr>
        <w:t>要合理安排运输卡车的空间,搬迁完成后,留下专人,负责检查，实验室是否有应搬而未搬的物品、淘汰桌、柜中是否清空等,打扫好原实验室卫生,关好门窗、水电。</w:t>
      </w:r>
    </w:p>
    <w:p>
      <w:pPr>
        <w:spacing w:line="360" w:lineRule="auto"/>
        <w:ind w:firstLine="240" w:firstLineChars="100"/>
        <w:rPr>
          <w:rFonts w:ascii="宋体" w:hAnsi="宋体" w:cs="宋体"/>
          <w:color w:val="auto"/>
          <w:sz w:val="24"/>
          <w:highlight w:val="none"/>
        </w:rPr>
      </w:pP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w:t>
      </w:r>
      <w:r>
        <w:rPr>
          <w:rFonts w:hint="eastAsia" w:ascii="宋体" w:hAnsi="宋体" w:cs="宋体"/>
          <w:color w:val="auto"/>
          <w:sz w:val="24"/>
          <w:highlight w:val="none"/>
        </w:rPr>
        <w:t>搬迁过程</w:t>
      </w:r>
      <w:r>
        <w:rPr>
          <w:rFonts w:hint="eastAsia" w:ascii="宋体" w:hAnsi="宋体" w:cs="宋体"/>
          <w:color w:val="auto"/>
          <w:sz w:val="24"/>
          <w:highlight w:val="none"/>
          <w:lang w:eastAsia="zh-CN"/>
        </w:rPr>
        <w:t>：</w:t>
      </w:r>
      <w:r>
        <w:rPr>
          <w:rFonts w:hint="eastAsia" w:ascii="宋体" w:hAnsi="宋体" w:cs="宋体"/>
          <w:color w:val="auto"/>
          <w:sz w:val="24"/>
          <w:highlight w:val="none"/>
        </w:rPr>
        <w:t>应爱护迁出和迁入房舍的环境及基础设施，避免磕碰损坏，组织做好所搬迁的仪器设备、物品等的登记、编号、交接、清点等工作，有序搬迁，确保仪器、设备、物品等及时清点就位，不得损坏和丢失，若有损坏和丢失的按原价值赔偿。</w:t>
      </w:r>
      <w:r>
        <w:rPr>
          <w:rFonts w:hint="eastAsia" w:ascii="宋体" w:hAnsi="宋体" w:cs="宋体"/>
          <w:color w:val="auto"/>
          <w:sz w:val="24"/>
          <w:highlight w:val="none"/>
          <w:lang w:eastAsia="zh-CN"/>
        </w:rPr>
        <w:t>中标单位</w:t>
      </w:r>
      <w:r>
        <w:rPr>
          <w:rFonts w:hint="eastAsia" w:ascii="宋体" w:hAnsi="宋体" w:cs="宋体"/>
          <w:color w:val="auto"/>
          <w:sz w:val="24"/>
          <w:highlight w:val="none"/>
        </w:rPr>
        <w:t xml:space="preserve">针对需搬迁实训室或系统应配有相应的专业技术人员进行设备的拆卸、搬运、安装及调试，保证所有搬迁的仪器设备安全、无损伤地安装到位。 </w:t>
      </w:r>
    </w:p>
    <w:p>
      <w:pPr>
        <w:spacing w:line="360" w:lineRule="auto"/>
        <w:ind w:firstLine="480" w:firstLineChars="200"/>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设备安装：</w:t>
      </w:r>
      <w:r>
        <w:rPr>
          <w:rFonts w:hint="eastAsia" w:ascii="仿宋_GB2312" w:hAnsi="仿宋_GB2312" w:eastAsia="仿宋_GB2312" w:cs="仿宋_GB2312"/>
          <w:color w:val="auto"/>
          <w:sz w:val="24"/>
          <w:szCs w:val="24"/>
          <w:highlight w:val="none"/>
        </w:rPr>
        <w:t>仪器设备</w:t>
      </w:r>
      <w:r>
        <w:rPr>
          <w:rFonts w:hint="eastAsia" w:ascii="仿宋_GB2312" w:hAnsi="仿宋_GB2312" w:eastAsia="仿宋_GB2312" w:cs="仿宋_GB2312"/>
          <w:color w:val="auto"/>
          <w:sz w:val="24"/>
          <w:szCs w:val="24"/>
          <w:highlight w:val="none"/>
          <w:lang w:eastAsia="zh-CN"/>
        </w:rPr>
        <w:t>搬运至新桥校区</w:t>
      </w:r>
      <w:r>
        <w:rPr>
          <w:rFonts w:hint="eastAsia" w:ascii="仿宋_GB2312" w:hAnsi="仿宋_GB2312" w:eastAsia="仿宋_GB2312" w:cs="仿宋_GB2312"/>
          <w:color w:val="auto"/>
          <w:sz w:val="24"/>
          <w:szCs w:val="24"/>
          <w:highlight w:val="none"/>
        </w:rPr>
        <w:t>到位后，应进行全面检查、调试，各类仪器设备完好无损，仪器设备性能、精度与搬迁前的标准要求一样，恢复原有实训室使用功能。专业设备拆卸运输及安装应由成</w:t>
      </w:r>
      <w:r>
        <w:rPr>
          <w:rFonts w:hint="eastAsia" w:ascii="仿宋_GB2312" w:hAnsi="仿宋_GB2312" w:eastAsia="仿宋_GB2312" w:cs="仿宋_GB2312"/>
          <w:color w:val="auto"/>
          <w:sz w:val="24"/>
          <w:szCs w:val="24"/>
          <w:highlight w:val="none"/>
          <w:lang w:eastAsia="zh-CN"/>
        </w:rPr>
        <w:t>中标单位</w:t>
      </w:r>
      <w:r>
        <w:rPr>
          <w:rFonts w:hint="eastAsia" w:ascii="仿宋_GB2312" w:hAnsi="仿宋_GB2312" w:eastAsia="仿宋_GB2312" w:cs="仿宋_GB2312"/>
          <w:color w:val="auto"/>
          <w:sz w:val="24"/>
          <w:szCs w:val="24"/>
          <w:highlight w:val="none"/>
        </w:rPr>
        <w:t>指定的专业人员完成，重新安装的各类教学设备的各项功能、性能、精度应</w:t>
      </w:r>
      <w:r>
        <w:rPr>
          <w:rFonts w:hint="eastAsia" w:ascii="仿宋_GB2312" w:hAnsi="仿宋_GB2312" w:eastAsia="仿宋_GB2312" w:cs="仿宋_GB2312"/>
          <w:color w:val="auto"/>
          <w:sz w:val="24"/>
          <w:szCs w:val="24"/>
          <w:highlight w:val="none"/>
          <w:lang w:eastAsia="zh-CN"/>
        </w:rPr>
        <w:t>与</w:t>
      </w:r>
      <w:r>
        <w:rPr>
          <w:rFonts w:hint="eastAsia" w:ascii="仿宋_GB2312" w:hAnsi="仿宋_GB2312" w:eastAsia="仿宋_GB2312" w:cs="仿宋_GB2312"/>
          <w:color w:val="auto"/>
          <w:sz w:val="24"/>
          <w:szCs w:val="24"/>
          <w:highlight w:val="none"/>
        </w:rPr>
        <w:t>拆除前的</w:t>
      </w:r>
      <w:r>
        <w:rPr>
          <w:rFonts w:hint="eastAsia" w:ascii="仿宋_GB2312" w:hAnsi="仿宋_GB2312" w:eastAsia="仿宋_GB2312" w:cs="仿宋_GB2312"/>
          <w:color w:val="auto"/>
          <w:sz w:val="24"/>
          <w:szCs w:val="24"/>
          <w:highlight w:val="none"/>
          <w:lang w:eastAsia="zh-CN"/>
        </w:rPr>
        <w:t>各项设备功能相同</w:t>
      </w:r>
      <w:r>
        <w:rPr>
          <w:rFonts w:hint="eastAsia" w:ascii="仿宋_GB2312" w:hAnsi="仿宋_GB2312" w:eastAsia="仿宋_GB2312" w:cs="仿宋_GB2312"/>
          <w:color w:val="auto"/>
          <w:sz w:val="24"/>
          <w:szCs w:val="24"/>
          <w:highlight w:val="none"/>
        </w:rPr>
        <w:t>确保搬迁结束后设备功能正常，与搬迁前一致。</w:t>
      </w:r>
    </w:p>
    <w:p>
      <w:pPr>
        <w:spacing w:line="360" w:lineRule="auto"/>
        <w:ind w:firstLine="435"/>
        <w:rPr>
          <w:rFonts w:ascii="宋体" w:hAnsi="宋体" w:cs="宋体"/>
          <w:color w:val="auto"/>
          <w:sz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0</w:t>
      </w:r>
      <w:r>
        <w:rPr>
          <w:rFonts w:hint="eastAsia" w:ascii="仿宋_GB2312" w:hAnsi="仿宋_GB2312" w:eastAsia="仿宋_GB2312" w:cs="仿宋_GB2312"/>
          <w:color w:val="auto"/>
          <w:sz w:val="24"/>
          <w:szCs w:val="24"/>
          <w:highlight w:val="none"/>
        </w:rPr>
        <w:t>、</w:t>
      </w:r>
      <w:r>
        <w:rPr>
          <w:rFonts w:hint="eastAsia" w:ascii="宋体" w:hAnsi="宋体" w:cs="宋体"/>
          <w:color w:val="auto"/>
          <w:sz w:val="24"/>
          <w:highlight w:val="none"/>
        </w:rPr>
        <w:t>验收</w:t>
      </w:r>
      <w:r>
        <w:rPr>
          <w:rFonts w:hint="eastAsia" w:ascii="宋体" w:hAnsi="宋体" w:cs="宋体"/>
          <w:color w:val="auto"/>
          <w:sz w:val="24"/>
          <w:highlight w:val="none"/>
          <w:lang w:eastAsia="zh-CN"/>
        </w:rPr>
        <w:t>要求</w:t>
      </w:r>
      <w:r>
        <w:rPr>
          <w:rFonts w:hint="eastAsia" w:ascii="宋体" w:hAnsi="宋体" w:cs="宋体"/>
          <w:color w:val="auto"/>
          <w:sz w:val="24"/>
          <w:highlight w:val="none"/>
        </w:rPr>
        <w:t>：所有仪器设备、重型设备、专业设备及系统、配套设施、实训设备设施、资料等应按照要求搬迁到位和安装调试，且所有电子设备通电后能正常工作，软件需按要求安装调试并交付使用；所有搬迁仪器设备及物品没有损坏、丢失，仪器设备性能、精度没有降低；搬迁后各实训室必须回复到原有功能状态。</w:t>
      </w:r>
    </w:p>
    <w:p>
      <w:pPr>
        <w:spacing w:line="360" w:lineRule="auto"/>
        <w:ind w:firstLine="480" w:firstLineChars="200"/>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中标单位</w:t>
      </w:r>
      <w:r>
        <w:rPr>
          <w:rFonts w:hint="eastAsia" w:ascii="仿宋_GB2312" w:hAnsi="仿宋_GB2312" w:eastAsia="仿宋_GB2312" w:cs="仿宋_GB2312"/>
          <w:color w:val="auto"/>
          <w:sz w:val="24"/>
          <w:szCs w:val="24"/>
          <w:highlight w:val="none"/>
        </w:rPr>
        <w:t>在项目实施</w:t>
      </w:r>
      <w:r>
        <w:rPr>
          <w:rFonts w:hint="eastAsia" w:ascii="仿宋_GB2312" w:hAnsi="仿宋_GB2312" w:eastAsia="仿宋_GB2312" w:cs="仿宋_GB2312"/>
          <w:color w:val="auto"/>
          <w:sz w:val="24"/>
          <w:szCs w:val="24"/>
          <w:highlight w:val="none"/>
          <w:lang w:eastAsia="zh-CN"/>
        </w:rPr>
        <w:t>前</w:t>
      </w:r>
      <w:r>
        <w:rPr>
          <w:rFonts w:hint="eastAsia" w:ascii="仿宋_GB2312" w:hAnsi="仿宋_GB2312" w:eastAsia="仿宋_GB2312" w:cs="仿宋_GB2312"/>
          <w:color w:val="auto"/>
          <w:sz w:val="24"/>
          <w:szCs w:val="24"/>
          <w:highlight w:val="none"/>
        </w:rPr>
        <w:t>应做好足够的安全防范措施，按安全规范操作，为相关人员和第三方购买人身保险，特种作业人员应由搬迁服务供应商审核其作业资质。若出现安全事故，所有责任由</w:t>
      </w:r>
      <w:r>
        <w:rPr>
          <w:rFonts w:hint="eastAsia" w:ascii="仿宋_GB2312" w:hAnsi="仿宋_GB2312" w:eastAsia="仿宋_GB2312" w:cs="仿宋_GB2312"/>
          <w:color w:val="auto"/>
          <w:sz w:val="24"/>
          <w:szCs w:val="24"/>
          <w:highlight w:val="none"/>
          <w:lang w:eastAsia="zh-CN"/>
        </w:rPr>
        <w:t>中标单位</w:t>
      </w:r>
      <w:r>
        <w:rPr>
          <w:rFonts w:hint="eastAsia" w:ascii="仿宋_GB2312" w:hAnsi="仿宋_GB2312" w:eastAsia="仿宋_GB2312" w:cs="仿宋_GB2312"/>
          <w:color w:val="auto"/>
          <w:sz w:val="24"/>
          <w:szCs w:val="24"/>
          <w:highlight w:val="none"/>
        </w:rPr>
        <w:t>负责。</w:t>
      </w:r>
    </w:p>
    <w:p>
      <w:pPr>
        <w:spacing w:line="360" w:lineRule="auto"/>
        <w:ind w:firstLine="435"/>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2</w:t>
      </w:r>
      <w:r>
        <w:rPr>
          <w:rFonts w:hint="eastAsia" w:ascii="宋体" w:hAnsi="宋体" w:cs="宋体"/>
          <w:color w:val="auto"/>
          <w:sz w:val="24"/>
          <w:highlight w:val="none"/>
          <w:lang w:eastAsia="zh-CN"/>
        </w:rPr>
        <w:t>、</w:t>
      </w:r>
      <w:r>
        <w:rPr>
          <w:rFonts w:hint="eastAsia" w:ascii="宋体" w:hAnsi="宋体" w:cs="宋体"/>
          <w:color w:val="auto"/>
          <w:sz w:val="24"/>
          <w:highlight w:val="none"/>
        </w:rPr>
        <w:t>除了重大灾害等不可抗力或采购人另有要求并书面同意可以延期，</w:t>
      </w:r>
      <w:r>
        <w:rPr>
          <w:rFonts w:hint="eastAsia" w:ascii="宋体" w:hAnsi="宋体" w:cs="宋体"/>
          <w:color w:val="auto"/>
          <w:sz w:val="24"/>
          <w:highlight w:val="none"/>
          <w:lang w:eastAsia="zh-CN"/>
        </w:rPr>
        <w:t>中标单位</w:t>
      </w:r>
      <w:r>
        <w:rPr>
          <w:rFonts w:hint="eastAsia" w:ascii="宋体" w:hAnsi="宋体" w:cs="宋体"/>
          <w:color w:val="auto"/>
          <w:sz w:val="24"/>
          <w:highlight w:val="none"/>
        </w:rPr>
        <w:t xml:space="preserve">必须在规定期限内按工程量清单及要求按期完工。 </w:t>
      </w:r>
    </w:p>
    <w:p>
      <w:pPr>
        <w:spacing w:line="360" w:lineRule="auto"/>
        <w:ind w:firstLine="435"/>
        <w:rPr>
          <w:rFonts w:ascii="仿宋_GB2312" w:hAnsi="仿宋_GB2312" w:eastAsia="仿宋_GB2312" w:cs="仿宋_GB2312"/>
          <w:color w:val="auto"/>
          <w:sz w:val="24"/>
          <w:szCs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3、</w:t>
      </w:r>
      <w:r>
        <w:rPr>
          <w:rFonts w:hint="eastAsia" w:ascii="仿宋_GB2312" w:hAnsi="仿宋_GB2312" w:eastAsia="仿宋_GB2312" w:cs="仿宋_GB2312"/>
          <w:color w:val="auto"/>
          <w:sz w:val="24"/>
          <w:szCs w:val="24"/>
          <w:highlight w:val="none"/>
        </w:rPr>
        <w:t>具体搬迁</w:t>
      </w:r>
      <w:r>
        <w:rPr>
          <w:rFonts w:hint="eastAsia" w:ascii="仿宋_GB2312" w:hAnsi="仿宋_GB2312" w:eastAsia="仿宋_GB2312" w:cs="仿宋_GB2312"/>
          <w:color w:val="auto"/>
          <w:sz w:val="24"/>
          <w:szCs w:val="24"/>
          <w:highlight w:val="none"/>
          <w:lang w:eastAsia="zh-CN"/>
        </w:rPr>
        <w:t>内容、</w:t>
      </w:r>
      <w:r>
        <w:rPr>
          <w:rFonts w:hint="eastAsia" w:ascii="仿宋_GB2312" w:hAnsi="仿宋_GB2312" w:eastAsia="仿宋_GB2312" w:cs="仿宋_GB2312"/>
          <w:color w:val="auto"/>
          <w:sz w:val="24"/>
          <w:szCs w:val="24"/>
          <w:highlight w:val="none"/>
        </w:rPr>
        <w:t>数量</w:t>
      </w:r>
      <w:r>
        <w:rPr>
          <w:rFonts w:ascii="宋体" w:hAnsi="宋体" w:cs="宋体"/>
          <w:color w:val="auto"/>
          <w:sz w:val="24"/>
          <w:highlight w:val="none"/>
        </w:rPr>
        <w:t>及具体要求等见</w:t>
      </w:r>
      <w:r>
        <w:rPr>
          <w:rFonts w:hint="eastAsia" w:ascii="仿宋_GB2312" w:hAnsi="仿宋_GB2312" w:eastAsia="仿宋_GB2312" w:cs="仿宋_GB2312"/>
          <w:color w:val="auto"/>
          <w:sz w:val="24"/>
          <w:szCs w:val="24"/>
          <w:highlight w:val="none"/>
          <w:lang w:eastAsia="zh-CN"/>
        </w:rPr>
        <w:t>下方</w:t>
      </w:r>
      <w:r>
        <w:rPr>
          <w:rFonts w:hint="eastAsia" w:ascii="仿宋_GB2312" w:hAnsi="仿宋_GB2312" w:eastAsia="仿宋_GB2312" w:cs="仿宋_GB2312"/>
          <w:color w:val="auto"/>
          <w:sz w:val="24"/>
          <w:szCs w:val="24"/>
          <w:highlight w:val="none"/>
        </w:rPr>
        <w:t>各实训室明细表。</w:t>
      </w:r>
    </w:p>
    <w:p>
      <w:pPr>
        <w:spacing w:line="360" w:lineRule="auto"/>
        <w:ind w:firstLine="435"/>
        <w:rPr>
          <w:rFonts w:ascii="宋体" w:hAnsi="宋体" w:cs="宋体"/>
          <w:color w:val="auto"/>
          <w:sz w:val="24"/>
          <w:highlight w:val="none"/>
        </w:rPr>
      </w:pPr>
      <w:r>
        <w:rPr>
          <w:rFonts w:hint="eastAsia" w:ascii="宋体" w:hAnsi="宋体" w:cs="宋体"/>
          <w:color w:val="auto"/>
          <w:sz w:val="24"/>
          <w:highlight w:val="none"/>
          <w:lang w:val="en-US" w:eastAsia="zh-CN"/>
        </w:rPr>
        <w:t>14、</w:t>
      </w:r>
      <w:r>
        <w:rPr>
          <w:rFonts w:hint="eastAsia" w:ascii="宋体" w:hAnsi="宋体" w:cs="宋体"/>
          <w:color w:val="auto"/>
          <w:sz w:val="24"/>
          <w:highlight w:val="none"/>
        </w:rPr>
        <w:t>自搬迁开始之日起至所有设备搬迁到位验收之日止，所有搬迁设备的安全由中标单位负责。</w:t>
      </w:r>
    </w:p>
    <w:p>
      <w:pPr>
        <w:spacing w:line="360" w:lineRule="auto"/>
        <w:ind w:firstLine="435"/>
        <w:rPr>
          <w:rFonts w:hint="eastAsia" w:ascii="宋体" w:hAnsi="宋体" w:cs="宋体"/>
          <w:b/>
          <w:bCs/>
          <w:color w:val="auto"/>
          <w:sz w:val="24"/>
          <w:highlight w:val="none"/>
        </w:rPr>
      </w:pP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val="en-US" w:eastAsia="zh-CN"/>
        </w:rPr>
        <w:t>15</w:t>
      </w:r>
      <w:r>
        <w:rPr>
          <w:rFonts w:hint="eastAsia" w:ascii="宋体" w:hAnsi="宋体" w:cs="宋体"/>
          <w:b/>
          <w:bCs/>
          <w:color w:val="auto"/>
          <w:sz w:val="24"/>
          <w:highlight w:val="none"/>
        </w:rPr>
        <w:t>.</w:t>
      </w:r>
      <w:r>
        <w:rPr>
          <w:rFonts w:ascii="宋体" w:hAnsi="宋体" w:cs="宋体"/>
          <w:b/>
          <w:bCs/>
          <w:color w:val="auto"/>
          <w:sz w:val="24"/>
          <w:highlight w:val="none"/>
        </w:rPr>
        <w:t>搬迁</w:t>
      </w:r>
      <w:r>
        <w:rPr>
          <w:rFonts w:hint="eastAsia" w:ascii="宋体" w:hAnsi="宋体" w:cs="宋体"/>
          <w:b/>
          <w:bCs/>
          <w:color w:val="auto"/>
          <w:sz w:val="24"/>
          <w:highlight w:val="none"/>
        </w:rPr>
        <w:t>前需对此次搬迁采购需求设备清单中</w:t>
      </w:r>
      <w:r>
        <w:rPr>
          <w:rFonts w:hint="eastAsia" w:ascii="宋体" w:hAnsi="宋体" w:cs="宋体"/>
          <w:b/>
          <w:bCs/>
          <w:color w:val="auto"/>
          <w:sz w:val="24"/>
          <w:highlight w:val="none"/>
          <w:lang w:val="en-US" w:eastAsia="zh-CN"/>
        </w:rPr>
        <w:t>标</w:t>
      </w:r>
      <w:r>
        <w:rPr>
          <w:rFonts w:hint="eastAsia" w:ascii="宋体" w:hAnsi="宋体" w:cs="宋体"/>
          <w:b/>
          <w:bCs/>
          <w:color w:val="auto"/>
          <w:sz w:val="24"/>
          <w:highlight w:val="none"/>
          <w:lang w:eastAsia="zh-CN"/>
        </w:rPr>
        <w:t>“</w:t>
      </w:r>
      <w:r>
        <w:rPr>
          <w:rFonts w:hint="eastAsia" w:ascii="宋体" w:hAnsi="宋体" w:eastAsia="宋体" w:cs="宋体"/>
          <w:color w:val="auto"/>
          <w:sz w:val="21"/>
          <w:szCs w:val="21"/>
          <w:highlight w:val="none"/>
          <w:lang w:eastAsia="zh-CN"/>
        </w:rPr>
        <w:t>■</w:t>
      </w:r>
      <w:r>
        <w:rPr>
          <w:rFonts w:hint="eastAsia" w:ascii="宋体" w:hAnsi="宋体" w:cs="宋体"/>
          <w:b/>
          <w:bCs/>
          <w:color w:val="auto"/>
          <w:sz w:val="24"/>
          <w:highlight w:val="none"/>
          <w:lang w:eastAsia="zh-CN"/>
        </w:rPr>
        <w:t>”</w:t>
      </w:r>
      <w:r>
        <w:rPr>
          <w:rFonts w:hint="eastAsia" w:ascii="宋体" w:hAnsi="宋体" w:cs="宋体"/>
          <w:b/>
          <w:bCs/>
          <w:color w:val="auto"/>
          <w:sz w:val="24"/>
          <w:highlight w:val="none"/>
          <w:lang w:val="en-US" w:eastAsia="zh-CN"/>
        </w:rPr>
        <w:t>项</w:t>
      </w:r>
      <w:r>
        <w:rPr>
          <w:rFonts w:hint="eastAsia" w:ascii="宋体" w:hAnsi="宋体" w:cs="宋体"/>
          <w:b/>
          <w:bCs/>
          <w:color w:val="auto"/>
          <w:sz w:val="24"/>
          <w:highlight w:val="none"/>
        </w:rPr>
        <w:t>设备和参与搬迁的人员购买保险</w:t>
      </w:r>
      <w:r>
        <w:rPr>
          <w:rFonts w:hint="eastAsia" w:ascii="宋体" w:hAnsi="宋体" w:cs="宋体"/>
          <w:b/>
          <w:bCs/>
          <w:color w:val="auto"/>
          <w:sz w:val="24"/>
          <w:highlight w:val="none"/>
          <w:lang w:val="en-US" w:eastAsia="zh-CN"/>
        </w:rPr>
        <w:t>,</w:t>
      </w:r>
      <w:r>
        <w:rPr>
          <w:rFonts w:hint="eastAsia" w:ascii="宋体" w:hAnsi="宋体" w:cs="宋体"/>
          <w:b/>
          <w:bCs/>
          <w:color w:val="auto"/>
          <w:sz w:val="24"/>
          <w:highlight w:val="none"/>
        </w:rPr>
        <w:t>保险费用含在此次报价中。</w:t>
      </w:r>
    </w:p>
    <w:p>
      <w:pPr>
        <w:spacing w:line="360" w:lineRule="auto"/>
        <w:ind w:firstLine="435"/>
        <w:rPr>
          <w:rFonts w:ascii="宋体" w:hAnsi="宋体"/>
          <w:b/>
          <w:bCs/>
          <w:color w:val="auto"/>
          <w:sz w:val="24"/>
          <w:highlight w:val="none"/>
        </w:rPr>
      </w:pP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val="en-US" w:eastAsia="zh-CN"/>
        </w:rPr>
        <w:t>16</w:t>
      </w:r>
      <w:r>
        <w:rPr>
          <w:rFonts w:hint="eastAsia" w:ascii="宋体" w:hAnsi="宋体" w:cs="宋体"/>
          <w:b/>
          <w:bCs/>
          <w:color w:val="auto"/>
          <w:sz w:val="24"/>
          <w:highlight w:val="none"/>
        </w:rPr>
        <w:t>.自搬迁验收完成之日起，所有设备免费质保</w:t>
      </w:r>
      <w:r>
        <w:rPr>
          <w:rFonts w:hint="eastAsia" w:ascii="宋体" w:hAnsi="宋体" w:cs="宋体"/>
          <w:b/>
          <w:bCs/>
          <w:color w:val="auto"/>
          <w:sz w:val="24"/>
          <w:highlight w:val="none"/>
          <w:lang w:val="en-US" w:eastAsia="zh-CN"/>
        </w:rPr>
        <w:t>1</w:t>
      </w:r>
      <w:r>
        <w:rPr>
          <w:rFonts w:hint="eastAsia" w:ascii="宋体" w:hAnsi="宋体" w:cs="宋体"/>
          <w:b/>
          <w:bCs/>
          <w:color w:val="auto"/>
          <w:sz w:val="24"/>
          <w:highlight w:val="none"/>
        </w:rPr>
        <w:t>年。</w:t>
      </w:r>
    </w:p>
    <w:p>
      <w:pPr>
        <w:spacing w:line="520" w:lineRule="exact"/>
        <w:jc w:val="left"/>
        <w:rPr>
          <w:rFonts w:ascii="仿宋_GB2312" w:hAnsi="仿宋_GB2312" w:eastAsia="仿宋_GB2312" w:cs="仿宋_GB2312"/>
          <w:b/>
          <w:bCs/>
          <w:color w:val="auto"/>
          <w:sz w:val="30"/>
          <w:szCs w:val="30"/>
          <w:highlight w:val="none"/>
        </w:rPr>
      </w:pPr>
      <w:r>
        <w:rPr>
          <w:rFonts w:hint="eastAsia" w:ascii="仿宋_GB2312" w:hAnsi="仿宋_GB2312" w:eastAsia="仿宋_GB2312" w:cs="仿宋_GB2312"/>
          <w:b/>
          <w:bCs/>
          <w:color w:val="auto"/>
          <w:sz w:val="30"/>
          <w:szCs w:val="30"/>
          <w:highlight w:val="none"/>
        </w:rPr>
        <w:t xml:space="preserve">二、航海实训室搬迁技术要求 </w:t>
      </w:r>
    </w:p>
    <w:p>
      <w:pPr>
        <w:spacing w:line="340" w:lineRule="exact"/>
        <w:jc w:val="left"/>
        <w:rPr>
          <w:rFonts w:ascii="黑体" w:hAnsi="黑体" w:eastAsia="黑体"/>
          <w:color w:val="auto"/>
          <w:kern w:val="2"/>
          <w:sz w:val="28"/>
          <w:szCs w:val="36"/>
          <w:highlight w:val="none"/>
        </w:rPr>
      </w:pPr>
      <w:r>
        <w:rPr>
          <w:rFonts w:hint="eastAsia" w:ascii="黑体" w:hAnsi="黑体" w:eastAsia="黑体"/>
          <w:color w:val="auto"/>
          <w:kern w:val="2"/>
          <w:sz w:val="28"/>
          <w:szCs w:val="36"/>
          <w:highlight w:val="none"/>
        </w:rPr>
        <w:t>（一）船舶模型实训室</w:t>
      </w:r>
    </w:p>
    <w:tbl>
      <w:tblPr>
        <w:tblStyle w:val="23"/>
        <w:tblW w:w="8670" w:type="dxa"/>
        <w:jc w:val="center"/>
        <w:tblLayout w:type="fixed"/>
        <w:tblCellMar>
          <w:top w:w="0" w:type="dxa"/>
          <w:left w:w="108" w:type="dxa"/>
          <w:bottom w:w="0" w:type="dxa"/>
          <w:right w:w="108" w:type="dxa"/>
        </w:tblCellMar>
      </w:tblPr>
      <w:tblGrid>
        <w:gridCol w:w="753"/>
        <w:gridCol w:w="3702"/>
        <w:gridCol w:w="1004"/>
        <w:gridCol w:w="937"/>
        <w:gridCol w:w="2274"/>
      </w:tblGrid>
      <w:tr>
        <w:tblPrEx>
          <w:tblCellMar>
            <w:top w:w="0" w:type="dxa"/>
            <w:left w:w="108" w:type="dxa"/>
            <w:bottom w:w="0" w:type="dxa"/>
            <w:right w:w="108" w:type="dxa"/>
          </w:tblCellMar>
        </w:tblPrEx>
        <w:trPr>
          <w:trHeight w:val="340" w:hRule="atLeast"/>
          <w:jc w:val="center"/>
        </w:trPr>
        <w:tc>
          <w:tcPr>
            <w:tcW w:w="75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b/>
                <w:color w:val="auto"/>
                <w:sz w:val="24"/>
                <w:szCs w:val="24"/>
                <w:highlight w:val="none"/>
              </w:rPr>
            </w:pPr>
            <w:r>
              <w:rPr>
                <w:rFonts w:hint="eastAsia" w:ascii="仿宋_GB2312" w:eastAsia="仿宋_GB2312"/>
                <w:b/>
                <w:color w:val="auto"/>
                <w:kern w:val="0"/>
                <w:sz w:val="24"/>
                <w:szCs w:val="24"/>
                <w:highlight w:val="none"/>
              </w:rPr>
              <w:t>序号</w:t>
            </w:r>
          </w:p>
        </w:tc>
        <w:tc>
          <w:tcPr>
            <w:tcW w:w="3702"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b/>
                <w:color w:val="auto"/>
                <w:sz w:val="24"/>
                <w:szCs w:val="24"/>
                <w:highlight w:val="none"/>
              </w:rPr>
            </w:pPr>
            <w:r>
              <w:rPr>
                <w:rFonts w:hint="eastAsia" w:ascii="仿宋_GB2312" w:eastAsia="仿宋_GB2312"/>
                <w:b/>
                <w:color w:val="auto"/>
                <w:sz w:val="24"/>
                <w:szCs w:val="24"/>
                <w:highlight w:val="none"/>
              </w:rPr>
              <w:t>设备名称</w:t>
            </w:r>
          </w:p>
        </w:tc>
        <w:tc>
          <w:tcPr>
            <w:tcW w:w="1004"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b/>
                <w:color w:val="auto"/>
                <w:sz w:val="24"/>
                <w:szCs w:val="24"/>
                <w:highlight w:val="none"/>
              </w:rPr>
            </w:pPr>
            <w:r>
              <w:rPr>
                <w:rFonts w:hint="eastAsia" w:ascii="仿宋_GB2312" w:eastAsia="仿宋_GB2312"/>
                <w:b/>
                <w:color w:val="auto"/>
                <w:kern w:val="0"/>
                <w:sz w:val="24"/>
                <w:szCs w:val="24"/>
                <w:highlight w:val="none"/>
              </w:rPr>
              <w:t>实际数量</w:t>
            </w:r>
          </w:p>
        </w:tc>
        <w:tc>
          <w:tcPr>
            <w:tcW w:w="93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b/>
                <w:color w:val="auto"/>
                <w:kern w:val="0"/>
                <w:sz w:val="24"/>
                <w:szCs w:val="24"/>
                <w:highlight w:val="none"/>
              </w:rPr>
            </w:pPr>
            <w:r>
              <w:rPr>
                <w:rFonts w:hint="eastAsia" w:ascii="仿宋_GB2312" w:eastAsia="仿宋_GB2312"/>
                <w:b/>
                <w:color w:val="auto"/>
                <w:kern w:val="0"/>
                <w:sz w:val="24"/>
                <w:szCs w:val="24"/>
                <w:highlight w:val="none"/>
              </w:rPr>
              <w:t>特殊要求</w:t>
            </w:r>
          </w:p>
        </w:tc>
        <w:tc>
          <w:tcPr>
            <w:tcW w:w="2274"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b/>
                <w:color w:val="auto"/>
                <w:kern w:val="0"/>
                <w:sz w:val="24"/>
                <w:szCs w:val="24"/>
                <w:highlight w:val="none"/>
              </w:rPr>
            </w:pPr>
            <w:r>
              <w:rPr>
                <w:rFonts w:hint="eastAsia" w:ascii="仿宋_GB2312" w:eastAsia="仿宋_GB2312"/>
                <w:b/>
                <w:color w:val="auto"/>
                <w:kern w:val="0"/>
                <w:sz w:val="24"/>
                <w:szCs w:val="24"/>
                <w:highlight w:val="none"/>
              </w:rPr>
              <w:t>备注</w:t>
            </w:r>
          </w:p>
        </w:tc>
      </w:tr>
      <w:tr>
        <w:tblPrEx>
          <w:tblCellMar>
            <w:top w:w="0" w:type="dxa"/>
            <w:left w:w="108" w:type="dxa"/>
            <w:bottom w:w="0" w:type="dxa"/>
            <w:right w:w="108" w:type="dxa"/>
          </w:tblCellMar>
        </w:tblPrEx>
        <w:trPr>
          <w:trHeight w:val="340" w:hRule="atLeast"/>
          <w:jc w:val="center"/>
        </w:trPr>
        <w:tc>
          <w:tcPr>
            <w:tcW w:w="75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1</w:t>
            </w:r>
          </w:p>
        </w:tc>
        <w:tc>
          <w:tcPr>
            <w:tcW w:w="3702"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海峡大型滚装船模型</w:t>
            </w:r>
          </w:p>
        </w:tc>
        <w:tc>
          <w:tcPr>
            <w:tcW w:w="1004"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1套</w:t>
            </w:r>
          </w:p>
        </w:tc>
        <w:tc>
          <w:tcPr>
            <w:tcW w:w="93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2274" w:type="dxa"/>
            <w:vMerge w:val="restart"/>
            <w:tcBorders>
              <w:top w:val="single" w:color="000000" w:sz="2" w:space="0"/>
              <w:left w:val="single" w:color="000000" w:sz="2" w:space="0"/>
              <w:right w:val="single" w:color="000000" w:sz="2" w:space="0"/>
            </w:tcBorders>
            <w:shd w:val="clear" w:color="auto" w:fill="auto"/>
            <w:vAlign w:val="center"/>
          </w:tcPr>
          <w:p>
            <w:pPr>
              <w:jc w:val="left"/>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易碎品，须加外包装打包搬迁，轻拿轻放，按引导员指定的位置摆放整齐，挂图需要拆除并上墙。</w:t>
            </w:r>
          </w:p>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5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2</w:t>
            </w:r>
          </w:p>
        </w:tc>
        <w:tc>
          <w:tcPr>
            <w:tcW w:w="3702"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Style w:val="55"/>
                <w:rFonts w:hint="eastAsia" w:hAnsi="仿宋" w:cs="仿宋"/>
                <w:color w:val="auto"/>
                <w:sz w:val="24"/>
                <w:szCs w:val="24"/>
                <w:highlight w:val="none"/>
              </w:rPr>
              <w:t>7500DWT散装货船模型</w:t>
            </w:r>
          </w:p>
        </w:tc>
        <w:tc>
          <w:tcPr>
            <w:tcW w:w="1004"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1套</w:t>
            </w:r>
          </w:p>
        </w:tc>
        <w:tc>
          <w:tcPr>
            <w:tcW w:w="93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2274"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5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3</w:t>
            </w:r>
          </w:p>
        </w:tc>
        <w:tc>
          <w:tcPr>
            <w:tcW w:w="3702"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Style w:val="55"/>
                <w:rFonts w:hint="eastAsia" w:hAnsi="仿宋" w:cs="仿宋"/>
                <w:color w:val="auto"/>
                <w:sz w:val="24"/>
                <w:szCs w:val="24"/>
                <w:highlight w:val="none"/>
              </w:rPr>
              <w:t>4250TEU集装箱船模型</w:t>
            </w:r>
          </w:p>
        </w:tc>
        <w:tc>
          <w:tcPr>
            <w:tcW w:w="1004"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1套</w:t>
            </w:r>
          </w:p>
        </w:tc>
        <w:tc>
          <w:tcPr>
            <w:tcW w:w="93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2274"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5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4</w:t>
            </w:r>
          </w:p>
        </w:tc>
        <w:tc>
          <w:tcPr>
            <w:tcW w:w="3702"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杂货船货舱结构模型</w:t>
            </w:r>
          </w:p>
        </w:tc>
        <w:tc>
          <w:tcPr>
            <w:tcW w:w="1004"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1套</w:t>
            </w:r>
          </w:p>
        </w:tc>
        <w:tc>
          <w:tcPr>
            <w:tcW w:w="93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2274"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5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5</w:t>
            </w:r>
          </w:p>
        </w:tc>
        <w:tc>
          <w:tcPr>
            <w:tcW w:w="3702"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散货船货舱结构模型</w:t>
            </w:r>
          </w:p>
        </w:tc>
        <w:tc>
          <w:tcPr>
            <w:tcW w:w="1004"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1套</w:t>
            </w:r>
          </w:p>
        </w:tc>
        <w:tc>
          <w:tcPr>
            <w:tcW w:w="93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2274"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5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6</w:t>
            </w:r>
          </w:p>
        </w:tc>
        <w:tc>
          <w:tcPr>
            <w:tcW w:w="3702"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LNG液化天然气化学品船舶模型</w:t>
            </w:r>
          </w:p>
        </w:tc>
        <w:tc>
          <w:tcPr>
            <w:tcW w:w="1004"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1套</w:t>
            </w:r>
          </w:p>
        </w:tc>
        <w:tc>
          <w:tcPr>
            <w:tcW w:w="93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2274"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5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7</w:t>
            </w:r>
          </w:p>
        </w:tc>
        <w:tc>
          <w:tcPr>
            <w:tcW w:w="3702"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Style w:val="55"/>
                <w:rFonts w:hint="eastAsia" w:hAnsi="仿宋" w:cs="仿宋"/>
                <w:color w:val="auto"/>
                <w:sz w:val="24"/>
                <w:szCs w:val="24"/>
                <w:highlight w:val="none"/>
              </w:rPr>
              <w:t>1：66门式起重机模型</w:t>
            </w:r>
          </w:p>
        </w:tc>
        <w:tc>
          <w:tcPr>
            <w:tcW w:w="1004"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1套</w:t>
            </w:r>
          </w:p>
        </w:tc>
        <w:tc>
          <w:tcPr>
            <w:tcW w:w="93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2274"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5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8</w:t>
            </w:r>
          </w:p>
        </w:tc>
        <w:tc>
          <w:tcPr>
            <w:tcW w:w="3702"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Style w:val="55"/>
                <w:rFonts w:hint="eastAsia" w:hAnsi="仿宋" w:cs="仿宋"/>
                <w:color w:val="auto"/>
                <w:sz w:val="24"/>
                <w:szCs w:val="24"/>
                <w:highlight w:val="none"/>
              </w:rPr>
              <w:t>1.76 克令吊</w:t>
            </w:r>
          </w:p>
        </w:tc>
        <w:tc>
          <w:tcPr>
            <w:tcW w:w="1004"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1套</w:t>
            </w:r>
          </w:p>
        </w:tc>
        <w:tc>
          <w:tcPr>
            <w:tcW w:w="93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2274"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5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9</w:t>
            </w:r>
          </w:p>
        </w:tc>
        <w:tc>
          <w:tcPr>
            <w:tcW w:w="3702"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LPG液态化学品船舶模型</w:t>
            </w:r>
          </w:p>
        </w:tc>
        <w:tc>
          <w:tcPr>
            <w:tcW w:w="1004"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1套</w:t>
            </w:r>
          </w:p>
        </w:tc>
        <w:tc>
          <w:tcPr>
            <w:tcW w:w="93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2274"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5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10</w:t>
            </w:r>
          </w:p>
        </w:tc>
        <w:tc>
          <w:tcPr>
            <w:tcW w:w="3702"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散货船骨架结构模型</w:t>
            </w:r>
          </w:p>
        </w:tc>
        <w:tc>
          <w:tcPr>
            <w:tcW w:w="1004"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1套</w:t>
            </w:r>
          </w:p>
        </w:tc>
        <w:tc>
          <w:tcPr>
            <w:tcW w:w="93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2274"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5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11</w:t>
            </w:r>
          </w:p>
        </w:tc>
        <w:tc>
          <w:tcPr>
            <w:tcW w:w="3702"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Style w:val="55"/>
                <w:rFonts w:hint="eastAsia" w:hAnsi="仿宋" w:cs="仿宋"/>
                <w:color w:val="auto"/>
                <w:sz w:val="24"/>
                <w:szCs w:val="24"/>
                <w:highlight w:val="none"/>
              </w:rPr>
              <w:t>1：9 轻型单杆吊</w:t>
            </w:r>
          </w:p>
        </w:tc>
        <w:tc>
          <w:tcPr>
            <w:tcW w:w="1004"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1套</w:t>
            </w:r>
          </w:p>
        </w:tc>
        <w:tc>
          <w:tcPr>
            <w:tcW w:w="93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2274"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5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12</w:t>
            </w:r>
          </w:p>
        </w:tc>
        <w:tc>
          <w:tcPr>
            <w:tcW w:w="3702"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集装箱货舱结构模型</w:t>
            </w:r>
          </w:p>
        </w:tc>
        <w:tc>
          <w:tcPr>
            <w:tcW w:w="1004"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1套</w:t>
            </w:r>
          </w:p>
        </w:tc>
        <w:tc>
          <w:tcPr>
            <w:tcW w:w="93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2274"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5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13</w:t>
            </w:r>
          </w:p>
        </w:tc>
        <w:tc>
          <w:tcPr>
            <w:tcW w:w="3702"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典型货船横式骨架结构模型</w:t>
            </w:r>
          </w:p>
        </w:tc>
        <w:tc>
          <w:tcPr>
            <w:tcW w:w="1004"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1套</w:t>
            </w:r>
          </w:p>
        </w:tc>
        <w:tc>
          <w:tcPr>
            <w:tcW w:w="93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2274"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5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14</w:t>
            </w:r>
          </w:p>
        </w:tc>
        <w:tc>
          <w:tcPr>
            <w:tcW w:w="3702"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常用典型混合式骨架结构模型</w:t>
            </w:r>
          </w:p>
        </w:tc>
        <w:tc>
          <w:tcPr>
            <w:tcW w:w="1004"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1套</w:t>
            </w:r>
          </w:p>
        </w:tc>
        <w:tc>
          <w:tcPr>
            <w:tcW w:w="93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2274"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5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15</w:t>
            </w:r>
          </w:p>
        </w:tc>
        <w:tc>
          <w:tcPr>
            <w:tcW w:w="3702"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典型军舰纵式骨架结构模型</w:t>
            </w:r>
          </w:p>
        </w:tc>
        <w:tc>
          <w:tcPr>
            <w:tcW w:w="1004"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1套</w:t>
            </w:r>
          </w:p>
        </w:tc>
        <w:tc>
          <w:tcPr>
            <w:tcW w:w="93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2274"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5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16</w:t>
            </w:r>
          </w:p>
        </w:tc>
        <w:tc>
          <w:tcPr>
            <w:tcW w:w="3702"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Style w:val="55"/>
                <w:rFonts w:hint="eastAsia" w:hAnsi="仿宋" w:cs="仿宋"/>
                <w:color w:val="auto"/>
                <w:sz w:val="24"/>
                <w:szCs w:val="24"/>
                <w:highlight w:val="none"/>
              </w:rPr>
              <w:t>35000T杂货轮模型</w:t>
            </w:r>
          </w:p>
        </w:tc>
        <w:tc>
          <w:tcPr>
            <w:tcW w:w="1004"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1套</w:t>
            </w:r>
          </w:p>
        </w:tc>
        <w:tc>
          <w:tcPr>
            <w:tcW w:w="93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2274"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5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17</w:t>
            </w:r>
          </w:p>
        </w:tc>
        <w:tc>
          <w:tcPr>
            <w:tcW w:w="3702"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Style w:val="55"/>
                <w:rFonts w:hint="eastAsia" w:hAnsi="仿宋" w:cs="仿宋"/>
                <w:color w:val="auto"/>
                <w:sz w:val="24"/>
                <w:szCs w:val="24"/>
                <w:highlight w:val="none"/>
              </w:rPr>
              <w:t>1：150 38000T散货船</w:t>
            </w:r>
          </w:p>
        </w:tc>
        <w:tc>
          <w:tcPr>
            <w:tcW w:w="1004"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1套</w:t>
            </w:r>
          </w:p>
        </w:tc>
        <w:tc>
          <w:tcPr>
            <w:tcW w:w="93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2274"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5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18</w:t>
            </w:r>
          </w:p>
        </w:tc>
        <w:tc>
          <w:tcPr>
            <w:tcW w:w="3702"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货轮典型管系布置模型</w:t>
            </w:r>
          </w:p>
        </w:tc>
        <w:tc>
          <w:tcPr>
            <w:tcW w:w="1004"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1套</w:t>
            </w:r>
          </w:p>
        </w:tc>
        <w:tc>
          <w:tcPr>
            <w:tcW w:w="93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2274"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5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19</w:t>
            </w:r>
          </w:p>
        </w:tc>
        <w:tc>
          <w:tcPr>
            <w:tcW w:w="3702"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Style w:val="55"/>
                <w:rFonts w:hint="eastAsia" w:hAnsi="仿宋" w:cs="仿宋"/>
                <w:color w:val="auto"/>
                <w:sz w:val="24"/>
                <w:szCs w:val="24"/>
                <w:highlight w:val="none"/>
              </w:rPr>
              <w:t>10000T成品油轮模型</w:t>
            </w:r>
          </w:p>
        </w:tc>
        <w:tc>
          <w:tcPr>
            <w:tcW w:w="1004"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1套</w:t>
            </w:r>
          </w:p>
        </w:tc>
        <w:tc>
          <w:tcPr>
            <w:tcW w:w="93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2274"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5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20</w:t>
            </w:r>
          </w:p>
        </w:tc>
        <w:tc>
          <w:tcPr>
            <w:tcW w:w="3702"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Style w:val="55"/>
                <w:rFonts w:hint="eastAsia" w:hAnsi="仿宋" w:cs="仿宋"/>
                <w:color w:val="auto"/>
                <w:sz w:val="24"/>
                <w:szCs w:val="24"/>
                <w:highlight w:val="none"/>
              </w:rPr>
              <w:t>1：35 散货锚泊系统模型</w:t>
            </w:r>
          </w:p>
        </w:tc>
        <w:tc>
          <w:tcPr>
            <w:tcW w:w="1004"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1套</w:t>
            </w:r>
          </w:p>
        </w:tc>
        <w:tc>
          <w:tcPr>
            <w:tcW w:w="93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2274"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5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21</w:t>
            </w:r>
          </w:p>
        </w:tc>
        <w:tc>
          <w:tcPr>
            <w:tcW w:w="3702"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舷梯模型</w:t>
            </w:r>
          </w:p>
        </w:tc>
        <w:tc>
          <w:tcPr>
            <w:tcW w:w="1004"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1套</w:t>
            </w:r>
          </w:p>
        </w:tc>
        <w:tc>
          <w:tcPr>
            <w:tcW w:w="93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2274"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5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22</w:t>
            </w:r>
          </w:p>
        </w:tc>
        <w:tc>
          <w:tcPr>
            <w:tcW w:w="3702"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Fonts w:hint="eastAsia" w:ascii="仿宋_GB2312" w:eastAsia="仿宋_GB2312"/>
                <w:color w:val="auto"/>
                <w:kern w:val="0"/>
                <w:sz w:val="24"/>
                <w:szCs w:val="24"/>
                <w:highlight w:val="none"/>
              </w:rPr>
              <w:t>长条桌（固定资产）</w:t>
            </w:r>
          </w:p>
        </w:tc>
        <w:tc>
          <w:tcPr>
            <w:tcW w:w="1004"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Style w:val="55"/>
                <w:rFonts w:hint="eastAsia" w:hAnsi="仿宋" w:cs="仿宋"/>
                <w:color w:val="auto"/>
                <w:sz w:val="24"/>
                <w:szCs w:val="24"/>
                <w:highlight w:val="none"/>
              </w:rPr>
              <w:t>12张</w:t>
            </w:r>
          </w:p>
        </w:tc>
        <w:tc>
          <w:tcPr>
            <w:tcW w:w="93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Style w:val="55"/>
                <w:rFonts w:hAnsi="仿宋" w:cs="仿宋"/>
                <w:color w:val="auto"/>
                <w:sz w:val="24"/>
                <w:szCs w:val="24"/>
                <w:highlight w:val="none"/>
              </w:rPr>
            </w:pPr>
          </w:p>
        </w:tc>
        <w:tc>
          <w:tcPr>
            <w:tcW w:w="2274" w:type="dxa"/>
            <w:vMerge w:val="continue"/>
            <w:tcBorders>
              <w:left w:val="single" w:color="000000" w:sz="2" w:space="0"/>
              <w:right w:val="single" w:color="000000" w:sz="2" w:space="0"/>
            </w:tcBorders>
            <w:shd w:val="clear" w:color="auto" w:fill="auto"/>
            <w:vAlign w:val="center"/>
          </w:tcPr>
          <w:p>
            <w:pPr>
              <w:rPr>
                <w:rStyle w:val="55"/>
                <w:rFonts w:hAnsi="仿宋" w:cs="仿宋"/>
                <w:color w:val="auto"/>
                <w:sz w:val="24"/>
                <w:szCs w:val="24"/>
                <w:highlight w:val="none"/>
              </w:rPr>
            </w:pPr>
          </w:p>
        </w:tc>
      </w:tr>
      <w:tr>
        <w:tblPrEx>
          <w:tblCellMar>
            <w:top w:w="0" w:type="dxa"/>
            <w:left w:w="108" w:type="dxa"/>
            <w:bottom w:w="0" w:type="dxa"/>
            <w:right w:w="108" w:type="dxa"/>
          </w:tblCellMar>
        </w:tblPrEx>
        <w:trPr>
          <w:trHeight w:val="340" w:hRule="atLeast"/>
          <w:jc w:val="center"/>
        </w:trPr>
        <w:tc>
          <w:tcPr>
            <w:tcW w:w="75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23</w:t>
            </w:r>
          </w:p>
        </w:tc>
        <w:tc>
          <w:tcPr>
            <w:tcW w:w="3702"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双人桌</w:t>
            </w:r>
          </w:p>
        </w:tc>
        <w:tc>
          <w:tcPr>
            <w:tcW w:w="1004"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Style w:val="55"/>
                <w:rFonts w:hAnsi="仿宋" w:cs="仿宋"/>
                <w:color w:val="auto"/>
                <w:sz w:val="24"/>
                <w:szCs w:val="24"/>
                <w:highlight w:val="none"/>
              </w:rPr>
            </w:pPr>
            <w:r>
              <w:rPr>
                <w:rStyle w:val="55"/>
                <w:rFonts w:hint="eastAsia" w:hAnsi="仿宋" w:cs="仿宋"/>
                <w:color w:val="auto"/>
                <w:sz w:val="24"/>
                <w:szCs w:val="24"/>
                <w:highlight w:val="none"/>
              </w:rPr>
              <w:t>7张</w:t>
            </w:r>
          </w:p>
        </w:tc>
        <w:tc>
          <w:tcPr>
            <w:tcW w:w="93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Style w:val="55"/>
                <w:rFonts w:hAnsi="仿宋" w:cs="仿宋"/>
                <w:color w:val="auto"/>
                <w:sz w:val="24"/>
                <w:szCs w:val="24"/>
                <w:highlight w:val="none"/>
              </w:rPr>
            </w:pPr>
          </w:p>
        </w:tc>
        <w:tc>
          <w:tcPr>
            <w:tcW w:w="2274" w:type="dxa"/>
            <w:vMerge w:val="continue"/>
            <w:tcBorders>
              <w:left w:val="single" w:color="000000" w:sz="2" w:space="0"/>
              <w:right w:val="single" w:color="000000" w:sz="2" w:space="0"/>
            </w:tcBorders>
            <w:shd w:val="clear" w:color="auto" w:fill="auto"/>
            <w:vAlign w:val="center"/>
          </w:tcPr>
          <w:p>
            <w:pPr>
              <w:rPr>
                <w:rStyle w:val="55"/>
                <w:rFonts w:hAnsi="仿宋" w:cs="仿宋"/>
                <w:color w:val="auto"/>
                <w:sz w:val="24"/>
                <w:szCs w:val="24"/>
                <w:highlight w:val="none"/>
              </w:rPr>
            </w:pPr>
          </w:p>
        </w:tc>
      </w:tr>
      <w:tr>
        <w:tblPrEx>
          <w:tblCellMar>
            <w:top w:w="0" w:type="dxa"/>
            <w:left w:w="108" w:type="dxa"/>
            <w:bottom w:w="0" w:type="dxa"/>
            <w:right w:w="108" w:type="dxa"/>
          </w:tblCellMar>
        </w:tblPrEx>
        <w:trPr>
          <w:trHeight w:val="340" w:hRule="atLeast"/>
          <w:jc w:val="center"/>
        </w:trPr>
        <w:tc>
          <w:tcPr>
            <w:tcW w:w="75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24</w:t>
            </w:r>
          </w:p>
        </w:tc>
        <w:tc>
          <w:tcPr>
            <w:tcW w:w="3702"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人体模型及保安挂图（60*90）</w:t>
            </w:r>
          </w:p>
        </w:tc>
        <w:tc>
          <w:tcPr>
            <w:tcW w:w="1004"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sz w:val="24"/>
                <w:szCs w:val="24"/>
                <w:highlight w:val="none"/>
              </w:rPr>
            </w:pPr>
            <w:r>
              <w:rPr>
                <w:rStyle w:val="55"/>
                <w:rFonts w:hint="eastAsia" w:hAnsi="仿宋" w:cs="仿宋"/>
                <w:color w:val="auto"/>
                <w:sz w:val="24"/>
                <w:szCs w:val="24"/>
                <w:highlight w:val="none"/>
              </w:rPr>
              <w:t>12</w:t>
            </w:r>
          </w:p>
        </w:tc>
        <w:tc>
          <w:tcPr>
            <w:tcW w:w="93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Style w:val="55"/>
                <w:rFonts w:hAnsi="仿宋" w:cs="仿宋"/>
                <w:color w:val="auto"/>
                <w:sz w:val="24"/>
                <w:szCs w:val="24"/>
                <w:highlight w:val="none"/>
              </w:rPr>
            </w:pPr>
          </w:p>
        </w:tc>
        <w:tc>
          <w:tcPr>
            <w:tcW w:w="2274" w:type="dxa"/>
            <w:vMerge w:val="continue"/>
            <w:tcBorders>
              <w:left w:val="single" w:color="000000" w:sz="2" w:space="0"/>
              <w:right w:val="single" w:color="000000" w:sz="2" w:space="0"/>
            </w:tcBorders>
            <w:shd w:val="clear" w:color="auto" w:fill="auto"/>
            <w:vAlign w:val="center"/>
          </w:tcPr>
          <w:p>
            <w:pPr>
              <w:rPr>
                <w:rStyle w:val="55"/>
                <w:rFonts w:hAnsi="仿宋" w:cs="仿宋"/>
                <w:color w:val="auto"/>
                <w:sz w:val="24"/>
                <w:szCs w:val="24"/>
                <w:highlight w:val="none"/>
              </w:rPr>
            </w:pPr>
          </w:p>
        </w:tc>
      </w:tr>
      <w:tr>
        <w:tblPrEx>
          <w:tblCellMar>
            <w:top w:w="0" w:type="dxa"/>
            <w:left w:w="108" w:type="dxa"/>
            <w:bottom w:w="0" w:type="dxa"/>
            <w:right w:w="108" w:type="dxa"/>
          </w:tblCellMar>
        </w:tblPrEx>
        <w:trPr>
          <w:trHeight w:val="340" w:hRule="atLeast"/>
          <w:jc w:val="center"/>
        </w:trPr>
        <w:tc>
          <w:tcPr>
            <w:tcW w:w="75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25</w:t>
            </w:r>
          </w:p>
        </w:tc>
        <w:tc>
          <w:tcPr>
            <w:tcW w:w="3702"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长城轮木材船模型</w:t>
            </w:r>
          </w:p>
        </w:tc>
        <w:tc>
          <w:tcPr>
            <w:tcW w:w="1004"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Style w:val="55"/>
                <w:rFonts w:hAnsi="仿宋" w:cs="仿宋"/>
                <w:color w:val="auto"/>
                <w:sz w:val="24"/>
                <w:szCs w:val="24"/>
                <w:highlight w:val="none"/>
              </w:rPr>
            </w:pPr>
            <w:r>
              <w:rPr>
                <w:rStyle w:val="55"/>
                <w:rFonts w:hint="eastAsia" w:hAnsi="仿宋" w:cs="仿宋"/>
                <w:color w:val="auto"/>
                <w:sz w:val="24"/>
                <w:szCs w:val="24"/>
                <w:highlight w:val="none"/>
              </w:rPr>
              <w:t>1套</w:t>
            </w:r>
          </w:p>
        </w:tc>
        <w:tc>
          <w:tcPr>
            <w:tcW w:w="93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Style w:val="55"/>
                <w:rFonts w:hAnsi="仿宋" w:cs="仿宋"/>
                <w:color w:val="auto"/>
                <w:sz w:val="24"/>
                <w:szCs w:val="24"/>
                <w:highlight w:val="none"/>
              </w:rPr>
            </w:pPr>
          </w:p>
        </w:tc>
        <w:tc>
          <w:tcPr>
            <w:tcW w:w="2274" w:type="dxa"/>
            <w:vMerge w:val="continue"/>
            <w:tcBorders>
              <w:left w:val="single" w:color="000000" w:sz="2" w:space="0"/>
              <w:right w:val="single" w:color="000000" w:sz="2" w:space="0"/>
            </w:tcBorders>
            <w:shd w:val="clear" w:color="auto" w:fill="auto"/>
            <w:vAlign w:val="center"/>
          </w:tcPr>
          <w:p>
            <w:pPr>
              <w:rPr>
                <w:rStyle w:val="55"/>
                <w:rFonts w:hAnsi="仿宋" w:cs="仿宋"/>
                <w:color w:val="auto"/>
                <w:sz w:val="24"/>
                <w:szCs w:val="24"/>
                <w:highlight w:val="none"/>
              </w:rPr>
            </w:pPr>
          </w:p>
        </w:tc>
      </w:tr>
      <w:tr>
        <w:tblPrEx>
          <w:tblCellMar>
            <w:top w:w="0" w:type="dxa"/>
            <w:left w:w="108" w:type="dxa"/>
            <w:bottom w:w="0" w:type="dxa"/>
            <w:right w:w="108" w:type="dxa"/>
          </w:tblCellMar>
        </w:tblPrEx>
        <w:trPr>
          <w:trHeight w:val="340" w:hRule="atLeast"/>
          <w:jc w:val="center"/>
        </w:trPr>
        <w:tc>
          <w:tcPr>
            <w:tcW w:w="75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26</w:t>
            </w:r>
          </w:p>
        </w:tc>
        <w:tc>
          <w:tcPr>
            <w:tcW w:w="3702"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7500DWT散装货船模型</w:t>
            </w:r>
          </w:p>
        </w:tc>
        <w:tc>
          <w:tcPr>
            <w:tcW w:w="1004"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Style w:val="55"/>
                <w:rFonts w:hAnsi="仿宋" w:cs="仿宋"/>
                <w:color w:val="auto"/>
                <w:sz w:val="24"/>
                <w:szCs w:val="24"/>
                <w:highlight w:val="none"/>
              </w:rPr>
            </w:pPr>
            <w:r>
              <w:rPr>
                <w:rStyle w:val="55"/>
                <w:rFonts w:hint="eastAsia" w:hAnsi="仿宋" w:cs="仿宋"/>
                <w:color w:val="auto"/>
                <w:sz w:val="24"/>
                <w:szCs w:val="24"/>
                <w:highlight w:val="none"/>
              </w:rPr>
              <w:t>1套</w:t>
            </w:r>
          </w:p>
        </w:tc>
        <w:tc>
          <w:tcPr>
            <w:tcW w:w="93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Style w:val="55"/>
                <w:rFonts w:hAnsi="仿宋" w:cs="仿宋"/>
                <w:color w:val="auto"/>
                <w:sz w:val="24"/>
                <w:szCs w:val="24"/>
                <w:highlight w:val="none"/>
              </w:rPr>
            </w:pPr>
          </w:p>
        </w:tc>
        <w:tc>
          <w:tcPr>
            <w:tcW w:w="2274" w:type="dxa"/>
            <w:vMerge w:val="continue"/>
            <w:tcBorders>
              <w:left w:val="single" w:color="000000" w:sz="2" w:space="0"/>
              <w:right w:val="single" w:color="000000" w:sz="2" w:space="0"/>
            </w:tcBorders>
            <w:shd w:val="clear" w:color="auto" w:fill="auto"/>
            <w:vAlign w:val="center"/>
          </w:tcPr>
          <w:p>
            <w:pPr>
              <w:rPr>
                <w:rStyle w:val="55"/>
                <w:rFonts w:hAnsi="仿宋" w:cs="仿宋"/>
                <w:color w:val="auto"/>
                <w:sz w:val="24"/>
                <w:szCs w:val="24"/>
                <w:highlight w:val="none"/>
              </w:rPr>
            </w:pPr>
          </w:p>
        </w:tc>
      </w:tr>
      <w:tr>
        <w:tblPrEx>
          <w:tblCellMar>
            <w:top w:w="0" w:type="dxa"/>
            <w:left w:w="108" w:type="dxa"/>
            <w:bottom w:w="0" w:type="dxa"/>
            <w:right w:w="108" w:type="dxa"/>
          </w:tblCellMar>
        </w:tblPrEx>
        <w:trPr>
          <w:trHeight w:val="340" w:hRule="atLeast"/>
          <w:jc w:val="center"/>
        </w:trPr>
        <w:tc>
          <w:tcPr>
            <w:tcW w:w="75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27</w:t>
            </w:r>
          </w:p>
        </w:tc>
        <w:tc>
          <w:tcPr>
            <w:tcW w:w="3702"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10000T成品油轮模型</w:t>
            </w:r>
          </w:p>
        </w:tc>
        <w:tc>
          <w:tcPr>
            <w:tcW w:w="1004"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Style w:val="55"/>
                <w:rFonts w:hAnsi="仿宋" w:cs="仿宋"/>
                <w:color w:val="auto"/>
                <w:sz w:val="24"/>
                <w:szCs w:val="24"/>
                <w:highlight w:val="none"/>
              </w:rPr>
            </w:pPr>
            <w:r>
              <w:rPr>
                <w:rStyle w:val="55"/>
                <w:rFonts w:hint="eastAsia" w:hAnsi="仿宋" w:cs="仿宋"/>
                <w:color w:val="auto"/>
                <w:sz w:val="24"/>
                <w:szCs w:val="24"/>
                <w:highlight w:val="none"/>
              </w:rPr>
              <w:t>1套</w:t>
            </w:r>
          </w:p>
        </w:tc>
        <w:tc>
          <w:tcPr>
            <w:tcW w:w="93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Style w:val="55"/>
                <w:rFonts w:hAnsi="仿宋" w:cs="仿宋"/>
                <w:color w:val="auto"/>
                <w:sz w:val="24"/>
                <w:szCs w:val="24"/>
                <w:highlight w:val="none"/>
              </w:rPr>
            </w:pPr>
          </w:p>
        </w:tc>
        <w:tc>
          <w:tcPr>
            <w:tcW w:w="2274" w:type="dxa"/>
            <w:vMerge w:val="continue"/>
            <w:tcBorders>
              <w:left w:val="single" w:color="000000" w:sz="2" w:space="0"/>
              <w:bottom w:val="single" w:color="000000" w:sz="2" w:space="0"/>
              <w:right w:val="single" w:color="000000" w:sz="2" w:space="0"/>
            </w:tcBorders>
            <w:shd w:val="clear" w:color="auto" w:fill="auto"/>
            <w:vAlign w:val="center"/>
          </w:tcPr>
          <w:p>
            <w:pPr>
              <w:rPr>
                <w:rStyle w:val="55"/>
                <w:rFonts w:hAnsi="仿宋" w:cs="仿宋"/>
                <w:color w:val="auto"/>
                <w:sz w:val="24"/>
                <w:szCs w:val="24"/>
                <w:highlight w:val="none"/>
              </w:rPr>
            </w:pPr>
          </w:p>
        </w:tc>
      </w:tr>
      <w:tr>
        <w:tblPrEx>
          <w:tblCellMar>
            <w:top w:w="0" w:type="dxa"/>
            <w:left w:w="108" w:type="dxa"/>
            <w:bottom w:w="0" w:type="dxa"/>
            <w:right w:w="108" w:type="dxa"/>
          </w:tblCellMar>
        </w:tblPrEx>
        <w:trPr>
          <w:trHeight w:val="340" w:hRule="atLeast"/>
          <w:jc w:val="center"/>
        </w:trPr>
        <w:tc>
          <w:tcPr>
            <w:tcW w:w="75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b/>
                <w:color w:val="auto"/>
                <w:kern w:val="0"/>
                <w:sz w:val="24"/>
                <w:szCs w:val="24"/>
                <w:highlight w:val="none"/>
              </w:rPr>
            </w:pPr>
          </w:p>
        </w:tc>
        <w:tc>
          <w:tcPr>
            <w:tcW w:w="7917" w:type="dxa"/>
            <w:gridSpan w:val="4"/>
            <w:tcBorders>
              <w:top w:val="single" w:color="000000" w:sz="2" w:space="0"/>
              <w:left w:val="single" w:color="000000" w:sz="2" w:space="0"/>
              <w:bottom w:val="single" w:color="000000" w:sz="2" w:space="0"/>
              <w:right w:val="single" w:color="000000" w:sz="2" w:space="0"/>
            </w:tcBorders>
            <w:shd w:val="clear" w:color="auto" w:fill="auto"/>
            <w:vAlign w:val="center"/>
          </w:tcPr>
          <w:p>
            <w:pPr>
              <w:jc w:val="left"/>
              <w:rPr>
                <w:rFonts w:ascii="仿宋_GB2312" w:eastAsia="仿宋_GB2312"/>
                <w:b/>
                <w:color w:val="auto"/>
                <w:kern w:val="0"/>
                <w:sz w:val="24"/>
                <w:szCs w:val="24"/>
                <w:highlight w:val="none"/>
              </w:rPr>
            </w:pPr>
          </w:p>
        </w:tc>
      </w:tr>
    </w:tbl>
    <w:p>
      <w:pPr>
        <w:rPr>
          <w:color w:val="auto"/>
          <w:highlight w:val="none"/>
        </w:rPr>
      </w:pPr>
    </w:p>
    <w:p>
      <w:pPr>
        <w:jc w:val="left"/>
        <w:rPr>
          <w:color w:val="auto"/>
          <w:highlight w:val="none"/>
        </w:rPr>
      </w:pPr>
      <w:r>
        <w:rPr>
          <w:rFonts w:hint="eastAsia" w:ascii="仿宋_GB2312" w:eastAsia="仿宋_GB2312"/>
          <w:b/>
          <w:bCs/>
          <w:color w:val="auto"/>
          <w:kern w:val="0"/>
          <w:sz w:val="24"/>
          <w:szCs w:val="24"/>
          <w:highlight w:val="none"/>
        </w:rPr>
        <w:t>备注：</w:t>
      </w:r>
      <w:r>
        <w:rPr>
          <w:rFonts w:hint="eastAsia" w:ascii="仿宋_GB2312" w:eastAsia="仿宋_GB2312"/>
          <w:color w:val="auto"/>
          <w:kern w:val="0"/>
          <w:sz w:val="24"/>
          <w:szCs w:val="24"/>
          <w:highlight w:val="none"/>
        </w:rPr>
        <w:t>易碎品，须加外包装打包搬迁，轻拿轻放，按引导员指定的位置摆放整齐，挂图需要拆除并上墙。</w:t>
      </w:r>
    </w:p>
    <w:p>
      <w:pPr>
        <w:spacing w:line="340" w:lineRule="exact"/>
        <w:jc w:val="left"/>
        <w:rPr>
          <w:rFonts w:ascii="黑体" w:hAnsi="黑体" w:eastAsia="黑体"/>
          <w:color w:val="auto"/>
          <w:kern w:val="2"/>
          <w:sz w:val="28"/>
          <w:szCs w:val="36"/>
          <w:highlight w:val="none"/>
        </w:rPr>
      </w:pPr>
      <w:r>
        <w:rPr>
          <w:rFonts w:hint="eastAsia" w:ascii="黑体" w:hAnsi="黑体" w:eastAsia="黑体"/>
          <w:color w:val="auto"/>
          <w:kern w:val="2"/>
          <w:sz w:val="28"/>
          <w:szCs w:val="36"/>
          <w:highlight w:val="none"/>
        </w:rPr>
        <w:t>（二）海图资料实训室</w:t>
      </w:r>
    </w:p>
    <w:p>
      <w:pPr>
        <w:jc w:val="left"/>
        <w:rPr>
          <w:color w:val="auto"/>
          <w:highlight w:val="none"/>
        </w:rPr>
      </w:pPr>
    </w:p>
    <w:tbl>
      <w:tblPr>
        <w:tblStyle w:val="23"/>
        <w:tblW w:w="8697" w:type="dxa"/>
        <w:jc w:val="center"/>
        <w:tblLayout w:type="fixed"/>
        <w:tblCellMar>
          <w:top w:w="0" w:type="dxa"/>
          <w:left w:w="108" w:type="dxa"/>
          <w:bottom w:w="0" w:type="dxa"/>
          <w:right w:w="108" w:type="dxa"/>
        </w:tblCellMar>
      </w:tblPr>
      <w:tblGrid>
        <w:gridCol w:w="777"/>
        <w:gridCol w:w="3613"/>
        <w:gridCol w:w="1626"/>
        <w:gridCol w:w="1183"/>
        <w:gridCol w:w="1498"/>
      </w:tblGrid>
      <w:tr>
        <w:tblPrEx>
          <w:tblCellMar>
            <w:top w:w="0" w:type="dxa"/>
            <w:left w:w="108" w:type="dxa"/>
            <w:bottom w:w="0" w:type="dxa"/>
            <w:right w:w="108" w:type="dxa"/>
          </w:tblCellMar>
        </w:tblPrEx>
        <w:trPr>
          <w:trHeight w:val="838"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b/>
                <w:color w:val="auto"/>
                <w:sz w:val="24"/>
                <w:szCs w:val="24"/>
                <w:highlight w:val="none"/>
              </w:rPr>
            </w:pPr>
            <w:r>
              <w:rPr>
                <w:rFonts w:hint="eastAsia" w:ascii="仿宋_GB2312" w:eastAsia="仿宋_GB2312"/>
                <w:b/>
                <w:color w:val="auto"/>
                <w:kern w:val="0"/>
                <w:sz w:val="24"/>
                <w:szCs w:val="24"/>
                <w:highlight w:val="none"/>
              </w:rPr>
              <w:t>序号</w:t>
            </w:r>
          </w:p>
        </w:tc>
        <w:tc>
          <w:tcPr>
            <w:tcW w:w="361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b/>
                <w:color w:val="auto"/>
                <w:sz w:val="24"/>
                <w:szCs w:val="24"/>
                <w:highlight w:val="none"/>
              </w:rPr>
            </w:pPr>
            <w:r>
              <w:rPr>
                <w:rFonts w:hint="eastAsia" w:ascii="仿宋_GB2312" w:eastAsia="仿宋_GB2312"/>
                <w:b/>
                <w:color w:val="auto"/>
                <w:sz w:val="24"/>
                <w:szCs w:val="24"/>
                <w:highlight w:val="none"/>
              </w:rPr>
              <w:t>设备名称</w:t>
            </w:r>
          </w:p>
        </w:tc>
        <w:tc>
          <w:tcPr>
            <w:tcW w:w="1626"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b/>
                <w:color w:val="auto"/>
                <w:sz w:val="24"/>
                <w:szCs w:val="24"/>
                <w:highlight w:val="none"/>
              </w:rPr>
            </w:pPr>
            <w:r>
              <w:rPr>
                <w:rFonts w:hint="eastAsia" w:ascii="仿宋_GB2312" w:eastAsia="仿宋_GB2312"/>
                <w:b/>
                <w:color w:val="auto"/>
                <w:kern w:val="0"/>
                <w:sz w:val="24"/>
                <w:szCs w:val="24"/>
                <w:highlight w:val="none"/>
              </w:rPr>
              <w:t>实际数量</w:t>
            </w:r>
          </w:p>
        </w:tc>
        <w:tc>
          <w:tcPr>
            <w:tcW w:w="118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b/>
                <w:color w:val="auto"/>
                <w:kern w:val="0"/>
                <w:sz w:val="24"/>
                <w:szCs w:val="24"/>
                <w:highlight w:val="none"/>
              </w:rPr>
            </w:pPr>
            <w:r>
              <w:rPr>
                <w:rFonts w:hint="eastAsia" w:ascii="仿宋_GB2312" w:eastAsia="仿宋_GB2312"/>
                <w:b/>
                <w:color w:val="auto"/>
                <w:kern w:val="0"/>
                <w:sz w:val="24"/>
                <w:szCs w:val="24"/>
                <w:highlight w:val="none"/>
              </w:rPr>
              <w:t>特殊要求</w:t>
            </w:r>
          </w:p>
        </w:tc>
        <w:tc>
          <w:tcPr>
            <w:tcW w:w="1498"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b/>
                <w:color w:val="auto"/>
                <w:kern w:val="0"/>
                <w:sz w:val="24"/>
                <w:szCs w:val="24"/>
                <w:highlight w:val="none"/>
              </w:rPr>
            </w:pPr>
            <w:r>
              <w:rPr>
                <w:rFonts w:hint="eastAsia" w:ascii="仿宋_GB2312" w:eastAsia="仿宋_GB2312"/>
                <w:b/>
                <w:color w:val="auto"/>
                <w:kern w:val="0"/>
                <w:sz w:val="24"/>
                <w:szCs w:val="24"/>
                <w:highlight w:val="none"/>
              </w:rPr>
              <w:t>备注</w:t>
            </w:r>
          </w:p>
        </w:tc>
      </w:tr>
      <w:tr>
        <w:tblPrEx>
          <w:tblCellMar>
            <w:top w:w="0" w:type="dxa"/>
            <w:left w:w="108" w:type="dxa"/>
            <w:bottom w:w="0" w:type="dxa"/>
            <w:right w:w="108" w:type="dxa"/>
          </w:tblCellMar>
        </w:tblPrEx>
        <w:trPr>
          <w:trHeight w:val="422"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1</w:t>
            </w:r>
          </w:p>
        </w:tc>
        <w:tc>
          <w:tcPr>
            <w:tcW w:w="361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海图作业工具</w:t>
            </w:r>
          </w:p>
        </w:tc>
        <w:tc>
          <w:tcPr>
            <w:tcW w:w="1626"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ascii="仿宋_GB2312" w:eastAsia="仿宋_GB2312"/>
                <w:color w:val="auto"/>
                <w:kern w:val="0"/>
                <w:sz w:val="24"/>
                <w:szCs w:val="24"/>
                <w:highlight w:val="none"/>
              </w:rPr>
              <w:t>40套</w:t>
            </w:r>
          </w:p>
        </w:tc>
        <w:tc>
          <w:tcPr>
            <w:tcW w:w="118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1498" w:type="dxa"/>
            <w:vMerge w:val="restart"/>
            <w:tcBorders>
              <w:top w:val="single" w:color="000000" w:sz="2" w:space="0"/>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 w:hAnsi="仿宋" w:eastAsia="仿宋" w:cs="仿宋"/>
                <w:color w:val="auto"/>
                <w:kern w:val="0"/>
                <w:sz w:val="24"/>
                <w:highlight w:val="none"/>
              </w:rPr>
              <w:t>海图室所有图书资料、工具、桌椅板凳打包搬迁并且摆放整齐。</w:t>
            </w:r>
          </w:p>
        </w:tc>
      </w:tr>
      <w:tr>
        <w:tblPrEx>
          <w:tblCellMar>
            <w:top w:w="0" w:type="dxa"/>
            <w:left w:w="108" w:type="dxa"/>
            <w:bottom w:w="0" w:type="dxa"/>
            <w:right w:w="108" w:type="dxa"/>
          </w:tblCellMar>
        </w:tblPrEx>
        <w:trPr>
          <w:trHeight w:val="422"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2</w:t>
            </w:r>
          </w:p>
        </w:tc>
        <w:tc>
          <w:tcPr>
            <w:tcW w:w="361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航线设计资料</w:t>
            </w:r>
          </w:p>
        </w:tc>
        <w:tc>
          <w:tcPr>
            <w:tcW w:w="1626"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4套</w:t>
            </w:r>
          </w:p>
        </w:tc>
        <w:tc>
          <w:tcPr>
            <w:tcW w:w="118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1498"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422"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3</w:t>
            </w:r>
          </w:p>
        </w:tc>
        <w:tc>
          <w:tcPr>
            <w:tcW w:w="361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教学用海图</w:t>
            </w:r>
          </w:p>
        </w:tc>
        <w:tc>
          <w:tcPr>
            <w:tcW w:w="1626"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40套</w:t>
            </w:r>
          </w:p>
        </w:tc>
        <w:tc>
          <w:tcPr>
            <w:tcW w:w="118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1498"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422"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4</w:t>
            </w:r>
          </w:p>
        </w:tc>
        <w:tc>
          <w:tcPr>
            <w:tcW w:w="361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教学用中、英文版航海图书资料</w:t>
            </w:r>
          </w:p>
        </w:tc>
        <w:tc>
          <w:tcPr>
            <w:tcW w:w="1626"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20套</w:t>
            </w:r>
          </w:p>
        </w:tc>
        <w:tc>
          <w:tcPr>
            <w:tcW w:w="118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1498"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422"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5</w:t>
            </w:r>
          </w:p>
        </w:tc>
        <w:tc>
          <w:tcPr>
            <w:tcW w:w="361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教学用《航海日志》</w:t>
            </w:r>
          </w:p>
        </w:tc>
        <w:tc>
          <w:tcPr>
            <w:tcW w:w="1626"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40套</w:t>
            </w:r>
          </w:p>
        </w:tc>
        <w:tc>
          <w:tcPr>
            <w:tcW w:w="118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1498"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422"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6</w:t>
            </w:r>
          </w:p>
        </w:tc>
        <w:tc>
          <w:tcPr>
            <w:tcW w:w="361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高脚板凳（固定资产）</w:t>
            </w:r>
          </w:p>
        </w:tc>
        <w:tc>
          <w:tcPr>
            <w:tcW w:w="1626"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ascii="仿宋_GB2312" w:eastAsia="仿宋_GB2312"/>
                <w:color w:val="auto"/>
                <w:kern w:val="0"/>
                <w:sz w:val="24"/>
                <w:szCs w:val="24"/>
                <w:highlight w:val="none"/>
              </w:rPr>
              <w:t>80个</w:t>
            </w:r>
          </w:p>
        </w:tc>
        <w:tc>
          <w:tcPr>
            <w:tcW w:w="118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1498"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422"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7</w:t>
            </w:r>
          </w:p>
        </w:tc>
        <w:tc>
          <w:tcPr>
            <w:tcW w:w="361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ascii="仿宋_GB2312" w:eastAsia="仿宋_GB2312"/>
                <w:color w:val="auto"/>
                <w:kern w:val="0"/>
                <w:sz w:val="24"/>
                <w:szCs w:val="24"/>
                <w:highlight w:val="none"/>
              </w:rPr>
              <w:t>海图专用柜(铁制，固定资产)</w:t>
            </w:r>
          </w:p>
        </w:tc>
        <w:tc>
          <w:tcPr>
            <w:tcW w:w="1626"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5个</w:t>
            </w:r>
          </w:p>
        </w:tc>
        <w:tc>
          <w:tcPr>
            <w:tcW w:w="118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1498"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422"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8</w:t>
            </w:r>
          </w:p>
        </w:tc>
        <w:tc>
          <w:tcPr>
            <w:tcW w:w="361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海图专用柜（木制，固定资产）</w:t>
            </w:r>
          </w:p>
        </w:tc>
        <w:tc>
          <w:tcPr>
            <w:tcW w:w="1626"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2个</w:t>
            </w:r>
          </w:p>
        </w:tc>
        <w:tc>
          <w:tcPr>
            <w:tcW w:w="118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1498"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664"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9</w:t>
            </w:r>
          </w:p>
        </w:tc>
        <w:tc>
          <w:tcPr>
            <w:tcW w:w="361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航海图书资料</w:t>
            </w:r>
          </w:p>
        </w:tc>
        <w:tc>
          <w:tcPr>
            <w:tcW w:w="1626"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795本图书、726张海图</w:t>
            </w:r>
          </w:p>
        </w:tc>
        <w:tc>
          <w:tcPr>
            <w:tcW w:w="118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1498"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422"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10</w:t>
            </w:r>
          </w:p>
        </w:tc>
        <w:tc>
          <w:tcPr>
            <w:tcW w:w="361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图书资料文件柜（固定资产）</w:t>
            </w:r>
          </w:p>
        </w:tc>
        <w:tc>
          <w:tcPr>
            <w:tcW w:w="1626"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4个</w:t>
            </w:r>
          </w:p>
        </w:tc>
        <w:tc>
          <w:tcPr>
            <w:tcW w:w="118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1498"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422"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11</w:t>
            </w:r>
          </w:p>
        </w:tc>
        <w:tc>
          <w:tcPr>
            <w:tcW w:w="361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海图桌（固定资产）</w:t>
            </w:r>
          </w:p>
        </w:tc>
        <w:tc>
          <w:tcPr>
            <w:tcW w:w="1626"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ascii="仿宋_GB2312" w:eastAsia="仿宋_GB2312"/>
                <w:color w:val="auto"/>
                <w:kern w:val="0"/>
                <w:sz w:val="24"/>
                <w:szCs w:val="24"/>
                <w:highlight w:val="none"/>
              </w:rPr>
              <w:t>45个</w:t>
            </w:r>
          </w:p>
        </w:tc>
        <w:tc>
          <w:tcPr>
            <w:tcW w:w="118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1498"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422"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12</w:t>
            </w:r>
          </w:p>
        </w:tc>
        <w:tc>
          <w:tcPr>
            <w:tcW w:w="361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长方形铁柜</w:t>
            </w:r>
          </w:p>
        </w:tc>
        <w:tc>
          <w:tcPr>
            <w:tcW w:w="1626"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ascii="仿宋_GB2312" w:eastAsia="仿宋_GB2312"/>
                <w:color w:val="auto"/>
                <w:kern w:val="0"/>
                <w:sz w:val="24"/>
                <w:szCs w:val="24"/>
                <w:highlight w:val="none"/>
              </w:rPr>
              <w:t>6个</w:t>
            </w:r>
          </w:p>
        </w:tc>
        <w:tc>
          <w:tcPr>
            <w:tcW w:w="118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1498"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482"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13</w:t>
            </w:r>
          </w:p>
        </w:tc>
        <w:tc>
          <w:tcPr>
            <w:tcW w:w="361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柜式空调（加外机）</w:t>
            </w:r>
          </w:p>
        </w:tc>
        <w:tc>
          <w:tcPr>
            <w:tcW w:w="1626"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ascii="仿宋_GB2312" w:eastAsia="仿宋_GB2312"/>
                <w:color w:val="auto"/>
                <w:kern w:val="0"/>
                <w:sz w:val="24"/>
                <w:szCs w:val="24"/>
                <w:highlight w:val="none"/>
              </w:rPr>
              <w:t>2台</w:t>
            </w:r>
          </w:p>
        </w:tc>
        <w:tc>
          <w:tcPr>
            <w:tcW w:w="118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1498"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422"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14</w:t>
            </w:r>
          </w:p>
        </w:tc>
        <w:tc>
          <w:tcPr>
            <w:tcW w:w="361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钢丝凳</w:t>
            </w:r>
          </w:p>
        </w:tc>
        <w:tc>
          <w:tcPr>
            <w:tcW w:w="1626"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ascii="仿宋_GB2312" w:eastAsia="仿宋_GB2312"/>
                <w:color w:val="auto"/>
                <w:kern w:val="0"/>
                <w:sz w:val="24"/>
                <w:szCs w:val="24"/>
                <w:highlight w:val="none"/>
              </w:rPr>
              <w:t>44</w:t>
            </w:r>
          </w:p>
        </w:tc>
        <w:tc>
          <w:tcPr>
            <w:tcW w:w="118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1498"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535"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15</w:t>
            </w:r>
          </w:p>
        </w:tc>
        <w:tc>
          <w:tcPr>
            <w:tcW w:w="361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绳结示教板</w:t>
            </w:r>
          </w:p>
        </w:tc>
        <w:tc>
          <w:tcPr>
            <w:tcW w:w="1626"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ascii="仿宋_GB2312" w:eastAsia="仿宋_GB2312"/>
                <w:color w:val="auto"/>
                <w:kern w:val="0"/>
                <w:sz w:val="24"/>
                <w:szCs w:val="24"/>
                <w:highlight w:val="none"/>
              </w:rPr>
              <w:t>1（1.5*3m）</w:t>
            </w:r>
          </w:p>
        </w:tc>
        <w:tc>
          <w:tcPr>
            <w:tcW w:w="118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1498"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589"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16</w:t>
            </w:r>
          </w:p>
        </w:tc>
        <w:tc>
          <w:tcPr>
            <w:tcW w:w="361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实训室管理规则（亚克力挂图）</w:t>
            </w:r>
          </w:p>
        </w:tc>
        <w:tc>
          <w:tcPr>
            <w:tcW w:w="1626"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ascii="仿宋_GB2312" w:eastAsia="仿宋_GB2312"/>
                <w:color w:val="auto"/>
                <w:kern w:val="0"/>
                <w:sz w:val="24"/>
                <w:szCs w:val="24"/>
                <w:highlight w:val="none"/>
              </w:rPr>
              <w:t>4（90*110）</w:t>
            </w:r>
          </w:p>
        </w:tc>
        <w:tc>
          <w:tcPr>
            <w:tcW w:w="118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c>
          <w:tcPr>
            <w:tcW w:w="1498"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428"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b/>
                <w:color w:val="auto"/>
                <w:kern w:val="0"/>
                <w:sz w:val="24"/>
                <w:szCs w:val="24"/>
                <w:highlight w:val="none"/>
              </w:rPr>
            </w:pPr>
          </w:p>
        </w:tc>
        <w:tc>
          <w:tcPr>
            <w:tcW w:w="7920" w:type="dxa"/>
            <w:gridSpan w:val="4"/>
            <w:tcBorders>
              <w:top w:val="single" w:color="000000" w:sz="2" w:space="0"/>
              <w:left w:val="single" w:color="000000" w:sz="2" w:space="0"/>
              <w:bottom w:val="single" w:color="000000" w:sz="2" w:space="0"/>
              <w:right w:val="single" w:color="000000" w:sz="2" w:space="0"/>
            </w:tcBorders>
            <w:shd w:val="clear" w:color="auto" w:fill="auto"/>
            <w:vAlign w:val="center"/>
          </w:tcPr>
          <w:p>
            <w:pPr>
              <w:jc w:val="left"/>
              <w:rPr>
                <w:rFonts w:ascii="仿宋_GB2312" w:eastAsia="仿宋_GB2312"/>
                <w:b/>
                <w:color w:val="auto"/>
                <w:kern w:val="0"/>
                <w:sz w:val="24"/>
                <w:szCs w:val="24"/>
                <w:highlight w:val="none"/>
              </w:rPr>
            </w:pPr>
          </w:p>
        </w:tc>
      </w:tr>
    </w:tbl>
    <w:p>
      <w:pPr>
        <w:rPr>
          <w:color w:val="auto"/>
          <w:highlight w:val="none"/>
        </w:rPr>
      </w:pPr>
    </w:p>
    <w:p>
      <w:pPr>
        <w:spacing w:line="480" w:lineRule="auto"/>
        <w:jc w:val="center"/>
        <w:rPr>
          <w:color w:val="auto"/>
          <w:highlight w:val="none"/>
        </w:rPr>
      </w:pPr>
      <w:r>
        <w:rPr>
          <w:rFonts w:hint="eastAsia" w:ascii="仿宋_GB2312" w:eastAsia="仿宋_GB2312"/>
          <w:b/>
          <w:bCs/>
          <w:color w:val="auto"/>
          <w:kern w:val="0"/>
          <w:sz w:val="24"/>
          <w:szCs w:val="24"/>
          <w:highlight w:val="none"/>
        </w:rPr>
        <w:t>备注：</w:t>
      </w:r>
      <w:r>
        <w:rPr>
          <w:rFonts w:hint="eastAsia" w:ascii="仿宋" w:hAnsi="仿宋" w:eastAsia="仿宋" w:cs="仿宋"/>
          <w:color w:val="auto"/>
          <w:kern w:val="0"/>
          <w:sz w:val="24"/>
          <w:highlight w:val="none"/>
        </w:rPr>
        <w:t>海图室所有图书资料、工具、桌椅板凳打包搬迁并且摆放整齐。</w:t>
      </w:r>
    </w:p>
    <w:p>
      <w:pPr>
        <w:spacing w:line="340" w:lineRule="exact"/>
        <w:jc w:val="left"/>
        <w:rPr>
          <w:rFonts w:ascii="黑体" w:hAnsi="黑体" w:eastAsia="黑体"/>
          <w:color w:val="auto"/>
          <w:kern w:val="2"/>
          <w:sz w:val="28"/>
          <w:szCs w:val="36"/>
          <w:highlight w:val="none"/>
        </w:rPr>
      </w:pPr>
      <w:r>
        <w:rPr>
          <w:rFonts w:hint="eastAsia" w:ascii="黑体" w:hAnsi="黑体" w:eastAsia="黑体"/>
          <w:color w:val="auto"/>
          <w:kern w:val="2"/>
          <w:sz w:val="28"/>
          <w:szCs w:val="36"/>
          <w:highlight w:val="none"/>
        </w:rPr>
        <w:t>（三）GMDSS真机实训室</w:t>
      </w:r>
    </w:p>
    <w:tbl>
      <w:tblPr>
        <w:tblStyle w:val="23"/>
        <w:tblW w:w="10052" w:type="dxa"/>
        <w:jc w:val="center"/>
        <w:tblLayout w:type="fixed"/>
        <w:tblCellMar>
          <w:top w:w="0" w:type="dxa"/>
          <w:left w:w="108" w:type="dxa"/>
          <w:bottom w:w="0" w:type="dxa"/>
          <w:right w:w="108" w:type="dxa"/>
        </w:tblCellMar>
      </w:tblPr>
      <w:tblGrid>
        <w:gridCol w:w="777"/>
        <w:gridCol w:w="2987"/>
        <w:gridCol w:w="1218"/>
        <w:gridCol w:w="1782"/>
        <w:gridCol w:w="1923"/>
        <w:gridCol w:w="1365"/>
      </w:tblGrid>
      <w:tr>
        <w:tblPrEx>
          <w:tblCellMar>
            <w:top w:w="0" w:type="dxa"/>
            <w:left w:w="108" w:type="dxa"/>
            <w:bottom w:w="0" w:type="dxa"/>
            <w:right w:w="108" w:type="dxa"/>
          </w:tblCellMar>
        </w:tblPrEx>
        <w:trPr>
          <w:trHeight w:val="340"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b/>
                <w:color w:val="auto"/>
                <w:sz w:val="24"/>
                <w:szCs w:val="24"/>
                <w:highlight w:val="none"/>
              </w:rPr>
            </w:pPr>
            <w:r>
              <w:rPr>
                <w:rFonts w:hint="eastAsia" w:ascii="仿宋_GB2312" w:eastAsia="仿宋_GB2312"/>
                <w:b/>
                <w:color w:val="auto"/>
                <w:kern w:val="0"/>
                <w:sz w:val="24"/>
                <w:szCs w:val="24"/>
                <w:highlight w:val="none"/>
              </w:rPr>
              <w:t>序号</w:t>
            </w:r>
          </w:p>
        </w:tc>
        <w:tc>
          <w:tcPr>
            <w:tcW w:w="298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b/>
                <w:color w:val="auto"/>
                <w:sz w:val="24"/>
                <w:szCs w:val="24"/>
                <w:highlight w:val="none"/>
              </w:rPr>
            </w:pPr>
            <w:r>
              <w:rPr>
                <w:rFonts w:hint="eastAsia" w:ascii="仿宋_GB2312" w:eastAsia="仿宋_GB2312"/>
                <w:b/>
                <w:color w:val="auto"/>
                <w:sz w:val="24"/>
                <w:szCs w:val="24"/>
                <w:highlight w:val="none"/>
              </w:rPr>
              <w:t>设备名称</w:t>
            </w:r>
          </w:p>
        </w:tc>
        <w:tc>
          <w:tcPr>
            <w:tcW w:w="1218"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b/>
                <w:color w:val="auto"/>
                <w:kern w:val="0"/>
                <w:sz w:val="24"/>
                <w:szCs w:val="24"/>
                <w:highlight w:val="none"/>
              </w:rPr>
            </w:pPr>
            <w:r>
              <w:rPr>
                <w:rFonts w:hint="eastAsia" w:ascii="仿宋_GB2312" w:eastAsia="仿宋_GB2312"/>
                <w:b/>
                <w:color w:val="auto"/>
                <w:sz w:val="24"/>
                <w:szCs w:val="24"/>
                <w:highlight w:val="none"/>
              </w:rPr>
              <w:t>型号</w:t>
            </w:r>
          </w:p>
        </w:tc>
        <w:tc>
          <w:tcPr>
            <w:tcW w:w="1782"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b/>
                <w:color w:val="auto"/>
                <w:sz w:val="24"/>
                <w:szCs w:val="24"/>
                <w:highlight w:val="none"/>
              </w:rPr>
            </w:pPr>
            <w:r>
              <w:rPr>
                <w:rFonts w:hint="eastAsia" w:ascii="仿宋_GB2312" w:eastAsia="仿宋_GB2312"/>
                <w:b/>
                <w:color w:val="auto"/>
                <w:kern w:val="0"/>
                <w:sz w:val="24"/>
                <w:szCs w:val="24"/>
                <w:highlight w:val="none"/>
              </w:rPr>
              <w:t>实际数量</w:t>
            </w:r>
          </w:p>
        </w:tc>
        <w:tc>
          <w:tcPr>
            <w:tcW w:w="1923"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b/>
                <w:color w:val="auto"/>
                <w:kern w:val="0"/>
                <w:sz w:val="24"/>
                <w:szCs w:val="24"/>
                <w:highlight w:val="none"/>
              </w:rPr>
            </w:pPr>
            <w:r>
              <w:rPr>
                <w:rFonts w:hint="eastAsia" w:ascii="仿宋_GB2312" w:eastAsia="仿宋_GB2312"/>
                <w:b/>
                <w:color w:val="auto"/>
                <w:kern w:val="0"/>
                <w:sz w:val="24"/>
                <w:szCs w:val="24"/>
                <w:highlight w:val="none"/>
              </w:rPr>
              <w:t>特殊要求</w:t>
            </w:r>
          </w:p>
        </w:tc>
        <w:tc>
          <w:tcPr>
            <w:tcW w:w="1365"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b/>
                <w:color w:val="auto"/>
                <w:kern w:val="0"/>
                <w:sz w:val="24"/>
                <w:szCs w:val="24"/>
                <w:highlight w:val="none"/>
              </w:rPr>
            </w:pPr>
            <w:r>
              <w:rPr>
                <w:rFonts w:hint="eastAsia" w:ascii="仿宋_GB2312" w:eastAsia="仿宋_GB2312"/>
                <w:b/>
                <w:color w:val="auto"/>
                <w:kern w:val="0"/>
                <w:sz w:val="24"/>
                <w:szCs w:val="24"/>
                <w:highlight w:val="none"/>
              </w:rPr>
              <w:t>备注</w:t>
            </w:r>
          </w:p>
        </w:tc>
      </w:tr>
      <w:tr>
        <w:tblPrEx>
          <w:tblCellMar>
            <w:top w:w="0" w:type="dxa"/>
            <w:left w:w="108" w:type="dxa"/>
            <w:bottom w:w="0" w:type="dxa"/>
            <w:right w:w="108" w:type="dxa"/>
          </w:tblCellMar>
        </w:tblPrEx>
        <w:trPr>
          <w:trHeight w:val="340"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298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left"/>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双向甚高频无线电话装置</w:t>
            </w:r>
          </w:p>
        </w:tc>
        <w:tc>
          <w:tcPr>
            <w:tcW w:w="12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FTGMDS（VHF）</w:t>
            </w:r>
          </w:p>
        </w:tc>
        <w:tc>
          <w:tcPr>
            <w:tcW w:w="17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2部（不要求运行）</w:t>
            </w:r>
          </w:p>
        </w:tc>
        <w:tc>
          <w:tcPr>
            <w:tcW w:w="192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365" w:type="dxa"/>
            <w:vMerge w:val="restart"/>
            <w:tcBorders>
              <w:top w:val="single" w:color="000000" w:sz="2" w:space="0"/>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2套内河雷达、SSAS保安报警装置需安装调试，及空调需拆除安装调试外，其他实训室设备不可用，需要打包搬迁至五楼G证实训室摆放整齐；</w:t>
            </w:r>
          </w:p>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w:t>
            </w:r>
          </w:p>
        </w:tc>
        <w:tc>
          <w:tcPr>
            <w:tcW w:w="298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left"/>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甚高频无线电话设备</w:t>
            </w:r>
          </w:p>
        </w:tc>
        <w:tc>
          <w:tcPr>
            <w:tcW w:w="12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7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2套（不要求运行）</w:t>
            </w:r>
          </w:p>
        </w:tc>
        <w:tc>
          <w:tcPr>
            <w:tcW w:w="192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365"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w:t>
            </w:r>
          </w:p>
        </w:tc>
        <w:tc>
          <w:tcPr>
            <w:tcW w:w="298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left"/>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航行警告接收机</w:t>
            </w:r>
          </w:p>
        </w:tc>
        <w:tc>
          <w:tcPr>
            <w:tcW w:w="12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JRC</w:t>
            </w:r>
          </w:p>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NCR-300A</w:t>
            </w:r>
          </w:p>
        </w:tc>
        <w:tc>
          <w:tcPr>
            <w:tcW w:w="17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1台（不要求运行）</w:t>
            </w:r>
          </w:p>
        </w:tc>
        <w:tc>
          <w:tcPr>
            <w:tcW w:w="192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365"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w:t>
            </w:r>
          </w:p>
        </w:tc>
        <w:tc>
          <w:tcPr>
            <w:tcW w:w="298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left"/>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国际海事卫星终端C站</w:t>
            </w:r>
          </w:p>
        </w:tc>
        <w:tc>
          <w:tcPr>
            <w:tcW w:w="12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FURUNO</w:t>
            </w:r>
          </w:p>
        </w:tc>
        <w:tc>
          <w:tcPr>
            <w:tcW w:w="17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1台（不要求运行）</w:t>
            </w:r>
          </w:p>
        </w:tc>
        <w:tc>
          <w:tcPr>
            <w:tcW w:w="192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365"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w:t>
            </w:r>
          </w:p>
        </w:tc>
        <w:tc>
          <w:tcPr>
            <w:tcW w:w="298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left"/>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国际海事卫星终端F站</w:t>
            </w:r>
          </w:p>
        </w:tc>
        <w:tc>
          <w:tcPr>
            <w:tcW w:w="12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NERA F77</w:t>
            </w:r>
          </w:p>
        </w:tc>
        <w:tc>
          <w:tcPr>
            <w:tcW w:w="17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1台（不要求运行）</w:t>
            </w:r>
          </w:p>
        </w:tc>
        <w:tc>
          <w:tcPr>
            <w:tcW w:w="192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365"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w:t>
            </w:r>
          </w:p>
        </w:tc>
        <w:tc>
          <w:tcPr>
            <w:tcW w:w="298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left"/>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中/高频无线电设备</w:t>
            </w:r>
          </w:p>
        </w:tc>
        <w:tc>
          <w:tcPr>
            <w:tcW w:w="12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FURUNO</w:t>
            </w:r>
          </w:p>
        </w:tc>
        <w:tc>
          <w:tcPr>
            <w:tcW w:w="17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1套（不要求运行）</w:t>
            </w:r>
          </w:p>
        </w:tc>
        <w:tc>
          <w:tcPr>
            <w:tcW w:w="192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365"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w:t>
            </w:r>
          </w:p>
        </w:tc>
        <w:tc>
          <w:tcPr>
            <w:tcW w:w="298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left"/>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气象传真接收机</w:t>
            </w:r>
          </w:p>
        </w:tc>
        <w:tc>
          <w:tcPr>
            <w:tcW w:w="12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FURUNO</w:t>
            </w:r>
          </w:p>
        </w:tc>
        <w:tc>
          <w:tcPr>
            <w:tcW w:w="17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2台（不要求运行）</w:t>
            </w:r>
          </w:p>
        </w:tc>
        <w:tc>
          <w:tcPr>
            <w:tcW w:w="192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365"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w:t>
            </w:r>
          </w:p>
        </w:tc>
        <w:tc>
          <w:tcPr>
            <w:tcW w:w="298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left"/>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全球卫星定位系统（GPS）</w:t>
            </w:r>
          </w:p>
        </w:tc>
        <w:tc>
          <w:tcPr>
            <w:tcW w:w="12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NSR</w:t>
            </w:r>
          </w:p>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NVX-1000</w:t>
            </w:r>
          </w:p>
        </w:tc>
        <w:tc>
          <w:tcPr>
            <w:tcW w:w="17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2台（不要求运行）</w:t>
            </w:r>
          </w:p>
        </w:tc>
        <w:tc>
          <w:tcPr>
            <w:tcW w:w="192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365"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9</w:t>
            </w:r>
          </w:p>
        </w:tc>
        <w:tc>
          <w:tcPr>
            <w:tcW w:w="298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left"/>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备用电源（蓄电池）</w:t>
            </w:r>
          </w:p>
        </w:tc>
        <w:tc>
          <w:tcPr>
            <w:tcW w:w="12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7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1套（不要求运行）</w:t>
            </w:r>
          </w:p>
        </w:tc>
        <w:tc>
          <w:tcPr>
            <w:tcW w:w="192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365"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w:t>
            </w:r>
          </w:p>
        </w:tc>
        <w:tc>
          <w:tcPr>
            <w:tcW w:w="298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left"/>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搜救雷达应答器</w:t>
            </w:r>
          </w:p>
        </w:tc>
        <w:tc>
          <w:tcPr>
            <w:tcW w:w="12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7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1台（不要求运行）</w:t>
            </w:r>
          </w:p>
        </w:tc>
        <w:tc>
          <w:tcPr>
            <w:tcW w:w="192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365"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11</w:t>
            </w:r>
          </w:p>
        </w:tc>
        <w:tc>
          <w:tcPr>
            <w:tcW w:w="298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left"/>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柜式空调+外机</w:t>
            </w:r>
          </w:p>
        </w:tc>
        <w:tc>
          <w:tcPr>
            <w:tcW w:w="12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7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1台（可用）</w:t>
            </w:r>
          </w:p>
        </w:tc>
        <w:tc>
          <w:tcPr>
            <w:tcW w:w="192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365"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12</w:t>
            </w:r>
          </w:p>
        </w:tc>
        <w:tc>
          <w:tcPr>
            <w:tcW w:w="298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left"/>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自浮式卫星紧急无线电示位标设备</w:t>
            </w:r>
          </w:p>
        </w:tc>
        <w:tc>
          <w:tcPr>
            <w:tcW w:w="12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7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2台正常</w:t>
            </w:r>
          </w:p>
        </w:tc>
        <w:tc>
          <w:tcPr>
            <w:tcW w:w="192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365"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13</w:t>
            </w:r>
          </w:p>
        </w:tc>
        <w:tc>
          <w:tcPr>
            <w:tcW w:w="298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left"/>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文件柜（固定资产）</w:t>
            </w:r>
          </w:p>
        </w:tc>
        <w:tc>
          <w:tcPr>
            <w:tcW w:w="12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7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1个</w:t>
            </w:r>
          </w:p>
        </w:tc>
        <w:tc>
          <w:tcPr>
            <w:tcW w:w="192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365"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14</w:t>
            </w:r>
          </w:p>
        </w:tc>
        <w:tc>
          <w:tcPr>
            <w:tcW w:w="298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left"/>
              <w:textAlignment w:val="center"/>
              <w:rPr>
                <w:rFonts w:ascii="仿宋_GB2312" w:hAnsi="仿宋_GB2312" w:eastAsia="仿宋_GB2312" w:cs="仿宋_GB2312"/>
                <w:color w:val="auto"/>
                <w:kern w:val="0"/>
                <w:sz w:val="24"/>
                <w:szCs w:val="24"/>
                <w:highlight w:val="none"/>
              </w:rPr>
            </w:pPr>
            <w:r>
              <w:rPr>
                <w:rStyle w:val="56"/>
                <w:rFonts w:hint="default" w:ascii="仿宋_GB2312" w:hAnsi="仿宋_GB2312" w:eastAsia="仿宋_GB2312" w:cs="仿宋_GB2312"/>
                <w:color w:val="auto"/>
                <w:sz w:val="24"/>
                <w:szCs w:val="24"/>
                <w:highlight w:val="none"/>
              </w:rPr>
              <w:t>长条桌(固定资产)</w:t>
            </w:r>
          </w:p>
        </w:tc>
        <w:tc>
          <w:tcPr>
            <w:tcW w:w="12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7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6张</w:t>
            </w:r>
          </w:p>
        </w:tc>
        <w:tc>
          <w:tcPr>
            <w:tcW w:w="192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365"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15</w:t>
            </w:r>
          </w:p>
        </w:tc>
        <w:tc>
          <w:tcPr>
            <w:tcW w:w="298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left"/>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实训室管理规则（亚克力挂图）</w:t>
            </w:r>
          </w:p>
        </w:tc>
        <w:tc>
          <w:tcPr>
            <w:tcW w:w="12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（60*90）</w:t>
            </w:r>
          </w:p>
        </w:tc>
        <w:tc>
          <w:tcPr>
            <w:tcW w:w="17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w:t>
            </w:r>
          </w:p>
        </w:tc>
        <w:tc>
          <w:tcPr>
            <w:tcW w:w="192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365"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宋体" w:hAnsi="宋体" w:eastAsia="宋体" w:cs="宋体"/>
                <w:color w:val="auto"/>
                <w:sz w:val="21"/>
                <w:szCs w:val="21"/>
                <w:highlight w:val="none"/>
                <w:lang w:eastAsia="zh-CN"/>
              </w:rPr>
              <w:t>■</w:t>
            </w:r>
            <w:r>
              <w:rPr>
                <w:rFonts w:hint="eastAsia" w:ascii="仿宋_GB2312" w:hAnsi="仿宋_GB2312" w:eastAsia="仿宋_GB2312" w:cs="仿宋_GB2312"/>
                <w:color w:val="auto"/>
                <w:kern w:val="0"/>
                <w:sz w:val="24"/>
                <w:szCs w:val="24"/>
                <w:highlight w:val="none"/>
              </w:rPr>
              <w:t>16</w:t>
            </w:r>
          </w:p>
        </w:tc>
        <w:tc>
          <w:tcPr>
            <w:tcW w:w="298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left"/>
              <w:textAlignment w:val="center"/>
              <w:rPr>
                <w:rFonts w:ascii="仿宋_GB2312" w:hAnsi="仿宋_GB2312" w:eastAsia="仿宋_GB2312" w:cs="仿宋_GB2312"/>
                <w:color w:val="auto"/>
                <w:kern w:val="0"/>
                <w:sz w:val="24"/>
                <w:szCs w:val="24"/>
                <w:highlight w:val="none"/>
              </w:rPr>
            </w:pPr>
            <w:r>
              <w:rPr>
                <w:rFonts w:hint="eastAsia" w:ascii="宋体" w:hAnsi="宋体" w:cs="宋体"/>
                <w:color w:val="auto"/>
                <w:kern w:val="0"/>
                <w:szCs w:val="21"/>
                <w:highlight w:val="none"/>
                <w:lang w:bidi="ar"/>
              </w:rPr>
              <w:t>●</w:t>
            </w:r>
            <w:r>
              <w:rPr>
                <w:rFonts w:hint="eastAsia" w:ascii="仿宋_GB2312" w:hAnsi="仿宋_GB2312" w:eastAsia="仿宋_GB2312" w:cs="仿宋_GB2312"/>
                <w:color w:val="auto"/>
                <w:kern w:val="0"/>
                <w:sz w:val="24"/>
                <w:szCs w:val="24"/>
                <w:highlight w:val="none"/>
              </w:rPr>
              <w:t>SSAS警报系统</w:t>
            </w:r>
          </w:p>
        </w:tc>
        <w:tc>
          <w:tcPr>
            <w:tcW w:w="12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7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1套</w:t>
            </w:r>
          </w:p>
        </w:tc>
        <w:tc>
          <w:tcPr>
            <w:tcW w:w="192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响应文件需提供图纸（或效果图）和安装方案。质保一年。见附图1</w:t>
            </w:r>
          </w:p>
        </w:tc>
        <w:tc>
          <w:tcPr>
            <w:tcW w:w="1365"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宋体" w:hAnsi="宋体" w:eastAsia="宋体" w:cs="宋体"/>
                <w:color w:val="auto"/>
                <w:sz w:val="21"/>
                <w:szCs w:val="21"/>
                <w:highlight w:val="none"/>
                <w:lang w:eastAsia="zh-CN"/>
              </w:rPr>
              <w:t>■</w:t>
            </w:r>
            <w:r>
              <w:rPr>
                <w:rFonts w:hint="eastAsia" w:ascii="仿宋_GB2312" w:hAnsi="仿宋_GB2312" w:eastAsia="仿宋_GB2312" w:cs="仿宋_GB2312"/>
                <w:color w:val="auto"/>
                <w:kern w:val="0"/>
                <w:sz w:val="24"/>
                <w:szCs w:val="24"/>
                <w:highlight w:val="none"/>
              </w:rPr>
              <w:t>17</w:t>
            </w:r>
          </w:p>
        </w:tc>
        <w:tc>
          <w:tcPr>
            <w:tcW w:w="298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left"/>
              <w:textAlignment w:val="center"/>
              <w:rPr>
                <w:rFonts w:ascii="仿宋_GB2312" w:hAnsi="仿宋_GB2312" w:eastAsia="仿宋_GB2312" w:cs="仿宋_GB2312"/>
                <w:color w:val="auto"/>
                <w:kern w:val="0"/>
                <w:sz w:val="24"/>
                <w:szCs w:val="24"/>
                <w:highlight w:val="none"/>
              </w:rPr>
            </w:pPr>
            <w:r>
              <w:rPr>
                <w:rFonts w:hint="eastAsia" w:ascii="宋体" w:hAnsi="宋体" w:cs="宋体"/>
                <w:color w:val="auto"/>
                <w:kern w:val="0"/>
                <w:szCs w:val="21"/>
                <w:highlight w:val="none"/>
                <w:lang w:bidi="ar"/>
              </w:rPr>
              <w:t>●</w:t>
            </w:r>
            <w:r>
              <w:rPr>
                <w:rFonts w:hint="eastAsia" w:ascii="仿宋_GB2312" w:hAnsi="仿宋_GB2312" w:eastAsia="仿宋_GB2312" w:cs="仿宋_GB2312"/>
                <w:color w:val="auto"/>
                <w:kern w:val="0"/>
                <w:sz w:val="24"/>
                <w:szCs w:val="24"/>
                <w:highlight w:val="none"/>
              </w:rPr>
              <w:t>雷达</w:t>
            </w:r>
          </w:p>
        </w:tc>
        <w:tc>
          <w:tcPr>
            <w:tcW w:w="12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JRC（JMA-2300MK2）</w:t>
            </w:r>
          </w:p>
        </w:tc>
        <w:tc>
          <w:tcPr>
            <w:tcW w:w="17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2套（1套可用</w:t>
            </w:r>
          </w:p>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1套不要求运行）</w:t>
            </w:r>
          </w:p>
        </w:tc>
        <w:tc>
          <w:tcPr>
            <w:tcW w:w="192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可用的1套雷达，</w:t>
            </w:r>
            <w:r>
              <w:rPr>
                <w:rFonts w:hint="eastAsia" w:ascii="仿宋_GB2312" w:hAnsi="仿宋_GB2312" w:eastAsia="仿宋_GB2312" w:cs="仿宋_GB2312"/>
                <w:color w:val="auto"/>
                <w:sz w:val="24"/>
                <w:szCs w:val="24"/>
                <w:highlight w:val="none"/>
              </w:rPr>
              <w:t>响应文件需提供图纸（或效果图）和安装方案；不可用的1套安放陈列室。质保一年。见附图2</w:t>
            </w:r>
          </w:p>
        </w:tc>
        <w:tc>
          <w:tcPr>
            <w:tcW w:w="1365" w:type="dxa"/>
            <w:vMerge w:val="continue"/>
            <w:tcBorders>
              <w:left w:val="single" w:color="000000" w:sz="2" w:space="0"/>
              <w:right w:val="single" w:color="000000" w:sz="2" w:space="0"/>
            </w:tcBorders>
            <w:shd w:val="clear" w:color="auto" w:fill="auto"/>
            <w:vAlign w:val="center"/>
          </w:tcPr>
          <w:p>
            <w:pPr>
              <w:rPr>
                <w:rFonts w:ascii="仿宋_GB2312" w:eastAsia="仿宋_GB2312"/>
                <w:color w:val="auto"/>
                <w:kern w:val="0"/>
                <w:sz w:val="24"/>
                <w:szCs w:val="24"/>
                <w:highlight w:val="none"/>
              </w:rPr>
            </w:pPr>
          </w:p>
        </w:tc>
      </w:tr>
    </w:tbl>
    <w:p>
      <w:pPr>
        <w:rPr>
          <w:rFonts w:ascii="仿宋_GB2312" w:eastAsia="仿宋_GB2312"/>
          <w:color w:val="auto"/>
          <w:kern w:val="0"/>
          <w:sz w:val="24"/>
          <w:szCs w:val="24"/>
          <w:highlight w:val="none"/>
        </w:rPr>
      </w:pPr>
      <w:r>
        <w:rPr>
          <w:rFonts w:hint="eastAsia" w:ascii="仿宋_GB2312" w:eastAsia="仿宋_GB2312"/>
          <w:b/>
          <w:bCs/>
          <w:color w:val="auto"/>
          <w:kern w:val="0"/>
          <w:sz w:val="24"/>
          <w:szCs w:val="24"/>
          <w:highlight w:val="none"/>
        </w:rPr>
        <w:t>备注：</w:t>
      </w:r>
      <w:r>
        <w:rPr>
          <w:rFonts w:hint="eastAsia" w:ascii="仿宋_GB2312" w:eastAsia="仿宋_GB2312"/>
          <w:color w:val="auto"/>
          <w:kern w:val="0"/>
          <w:sz w:val="24"/>
          <w:szCs w:val="24"/>
          <w:highlight w:val="none"/>
        </w:rPr>
        <w:t>2套内河雷达、SSAS保安报警装置需安装调试，及空调需拆除安装调试外，其他实训室设备不可用，需要打包搬迁至五楼G证实训室摆放整齐；</w:t>
      </w:r>
    </w:p>
    <w:p>
      <w:pPr>
        <w:spacing w:line="340" w:lineRule="exact"/>
        <w:jc w:val="left"/>
        <w:rPr>
          <w:rFonts w:ascii="黑体" w:hAnsi="黑体" w:eastAsia="黑体"/>
          <w:color w:val="auto"/>
          <w:kern w:val="2"/>
          <w:sz w:val="28"/>
          <w:szCs w:val="36"/>
          <w:highlight w:val="none"/>
        </w:rPr>
      </w:pPr>
      <w:r>
        <w:rPr>
          <w:rFonts w:hint="eastAsia" w:ascii="黑体" w:hAnsi="黑体" w:eastAsia="黑体"/>
          <w:color w:val="auto"/>
          <w:kern w:val="2"/>
          <w:sz w:val="28"/>
          <w:szCs w:val="36"/>
          <w:highlight w:val="none"/>
        </w:rPr>
        <w:t>（四）航海仪器实训室</w:t>
      </w:r>
    </w:p>
    <w:tbl>
      <w:tblPr>
        <w:tblStyle w:val="23"/>
        <w:tblW w:w="9864" w:type="dxa"/>
        <w:jc w:val="center"/>
        <w:tblLayout w:type="fixed"/>
        <w:tblCellMar>
          <w:top w:w="0" w:type="dxa"/>
          <w:left w:w="108" w:type="dxa"/>
          <w:bottom w:w="0" w:type="dxa"/>
          <w:right w:w="108" w:type="dxa"/>
        </w:tblCellMar>
      </w:tblPr>
      <w:tblGrid>
        <w:gridCol w:w="948"/>
        <w:gridCol w:w="2016"/>
        <w:gridCol w:w="1518"/>
        <w:gridCol w:w="2039"/>
        <w:gridCol w:w="2146"/>
        <w:gridCol w:w="1197"/>
      </w:tblGrid>
      <w:tr>
        <w:tblPrEx>
          <w:tblCellMar>
            <w:top w:w="0" w:type="dxa"/>
            <w:left w:w="108" w:type="dxa"/>
            <w:bottom w:w="0" w:type="dxa"/>
            <w:right w:w="108" w:type="dxa"/>
          </w:tblCellMar>
        </w:tblPrEx>
        <w:trPr>
          <w:trHeight w:val="340" w:hRule="atLeast"/>
          <w:jc w:val="center"/>
        </w:trPr>
        <w:tc>
          <w:tcPr>
            <w:tcW w:w="948"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b/>
                <w:color w:val="auto"/>
                <w:sz w:val="24"/>
                <w:szCs w:val="24"/>
                <w:highlight w:val="none"/>
              </w:rPr>
            </w:pPr>
            <w:r>
              <w:rPr>
                <w:rFonts w:hint="eastAsia" w:ascii="仿宋_GB2312" w:eastAsia="仿宋_GB2312"/>
                <w:b/>
                <w:color w:val="auto"/>
                <w:kern w:val="0"/>
                <w:sz w:val="24"/>
                <w:szCs w:val="24"/>
                <w:highlight w:val="none"/>
              </w:rPr>
              <w:t>序号</w:t>
            </w:r>
          </w:p>
        </w:tc>
        <w:tc>
          <w:tcPr>
            <w:tcW w:w="2016"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b/>
                <w:color w:val="auto"/>
                <w:sz w:val="24"/>
                <w:szCs w:val="24"/>
                <w:highlight w:val="none"/>
              </w:rPr>
            </w:pPr>
            <w:r>
              <w:rPr>
                <w:rFonts w:hint="eastAsia" w:ascii="仿宋_GB2312" w:eastAsia="仿宋_GB2312"/>
                <w:b/>
                <w:color w:val="auto"/>
                <w:sz w:val="24"/>
                <w:szCs w:val="24"/>
                <w:highlight w:val="none"/>
              </w:rPr>
              <w:t>设备名称</w:t>
            </w:r>
          </w:p>
        </w:tc>
        <w:tc>
          <w:tcPr>
            <w:tcW w:w="1518"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b/>
                <w:color w:val="auto"/>
                <w:sz w:val="24"/>
                <w:szCs w:val="24"/>
                <w:highlight w:val="none"/>
              </w:rPr>
            </w:pPr>
            <w:r>
              <w:rPr>
                <w:rFonts w:hint="eastAsia" w:ascii="仿宋_GB2312" w:eastAsia="仿宋_GB2312"/>
                <w:b/>
                <w:color w:val="auto"/>
                <w:sz w:val="24"/>
                <w:szCs w:val="24"/>
                <w:highlight w:val="none"/>
              </w:rPr>
              <w:t>型号</w:t>
            </w:r>
          </w:p>
        </w:tc>
        <w:tc>
          <w:tcPr>
            <w:tcW w:w="2039"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b/>
                <w:color w:val="auto"/>
                <w:sz w:val="24"/>
                <w:szCs w:val="24"/>
                <w:highlight w:val="none"/>
              </w:rPr>
            </w:pPr>
            <w:r>
              <w:rPr>
                <w:rFonts w:hint="eastAsia" w:ascii="仿宋_GB2312" w:eastAsia="仿宋_GB2312"/>
                <w:b/>
                <w:color w:val="auto"/>
                <w:kern w:val="0"/>
                <w:sz w:val="24"/>
                <w:szCs w:val="24"/>
                <w:highlight w:val="none"/>
              </w:rPr>
              <w:t>实际数量</w:t>
            </w:r>
          </w:p>
        </w:tc>
        <w:tc>
          <w:tcPr>
            <w:tcW w:w="2146"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b/>
                <w:color w:val="auto"/>
                <w:kern w:val="0"/>
                <w:sz w:val="24"/>
                <w:szCs w:val="24"/>
                <w:highlight w:val="none"/>
              </w:rPr>
            </w:pPr>
            <w:r>
              <w:rPr>
                <w:rFonts w:hint="eastAsia" w:ascii="仿宋_GB2312" w:eastAsia="仿宋_GB2312"/>
                <w:b/>
                <w:color w:val="auto"/>
                <w:kern w:val="0"/>
                <w:sz w:val="24"/>
                <w:szCs w:val="24"/>
                <w:highlight w:val="none"/>
              </w:rPr>
              <w:t>特殊要求</w:t>
            </w:r>
          </w:p>
        </w:tc>
        <w:tc>
          <w:tcPr>
            <w:tcW w:w="119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eastAsia="仿宋_GB2312"/>
                <w:b/>
                <w:color w:val="auto"/>
                <w:kern w:val="0"/>
                <w:sz w:val="24"/>
                <w:szCs w:val="24"/>
                <w:highlight w:val="none"/>
              </w:rPr>
            </w:pPr>
            <w:r>
              <w:rPr>
                <w:rFonts w:hint="eastAsia" w:ascii="仿宋_GB2312" w:eastAsia="仿宋_GB2312"/>
                <w:b/>
                <w:color w:val="auto"/>
                <w:kern w:val="0"/>
                <w:sz w:val="24"/>
                <w:szCs w:val="24"/>
                <w:highlight w:val="none"/>
              </w:rPr>
              <w:t>备注</w:t>
            </w:r>
          </w:p>
        </w:tc>
      </w:tr>
      <w:tr>
        <w:tblPrEx>
          <w:tblCellMar>
            <w:top w:w="0" w:type="dxa"/>
            <w:left w:w="108" w:type="dxa"/>
            <w:bottom w:w="0" w:type="dxa"/>
            <w:right w:w="108" w:type="dxa"/>
          </w:tblCellMar>
        </w:tblPrEx>
        <w:trPr>
          <w:trHeight w:val="340" w:hRule="atLeast"/>
          <w:jc w:val="center"/>
        </w:trPr>
        <w:tc>
          <w:tcPr>
            <w:tcW w:w="94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201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六分仪</w:t>
            </w:r>
          </w:p>
        </w:tc>
        <w:tc>
          <w:tcPr>
            <w:tcW w:w="15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p>
        </w:tc>
        <w:tc>
          <w:tcPr>
            <w:tcW w:w="2039"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25台</w:t>
            </w:r>
          </w:p>
        </w:tc>
        <w:tc>
          <w:tcPr>
            <w:tcW w:w="214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p>
        </w:tc>
        <w:tc>
          <w:tcPr>
            <w:tcW w:w="1197" w:type="dxa"/>
            <w:vMerge w:val="restart"/>
            <w:tcBorders>
              <w:top w:val="single" w:color="000000" w:sz="2" w:space="0"/>
              <w:left w:val="single" w:color="000000" w:sz="2" w:space="0"/>
              <w:right w:val="single" w:color="000000" w:sz="2" w:space="0"/>
            </w:tcBorders>
            <w:shd w:val="clear" w:color="auto" w:fill="auto"/>
            <w:vAlign w:val="center"/>
          </w:tcPr>
          <w:p>
            <w:pPr>
              <w:jc w:val="left"/>
              <w:rPr>
                <w:rFonts w:ascii="仿宋_GB2312" w:hAnsi="仿宋_GB2312" w:eastAsia="仿宋_GB2312" w:cs="仿宋_GB2312"/>
                <w:color w:val="auto"/>
                <w:kern w:val="0"/>
                <w:sz w:val="24"/>
                <w:szCs w:val="24"/>
                <w:highlight w:val="none"/>
              </w:rPr>
            </w:pPr>
          </w:p>
          <w:p>
            <w:pPr>
              <w:jc w:val="left"/>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打包搬迁、按引导员指定的位置摆放整齐，挂图需要拆除并上墙；可用仪器需通电调试至正常使用，不可用仪器摆放整齐，另外通导设备天线也需要拆除安装。</w:t>
            </w:r>
          </w:p>
          <w:p>
            <w:pPr>
              <w:jc w:val="left"/>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94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w:t>
            </w:r>
          </w:p>
        </w:tc>
        <w:tc>
          <w:tcPr>
            <w:tcW w:w="201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索星卡</w:t>
            </w:r>
          </w:p>
        </w:tc>
        <w:tc>
          <w:tcPr>
            <w:tcW w:w="15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p>
        </w:tc>
        <w:tc>
          <w:tcPr>
            <w:tcW w:w="2039"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60套</w:t>
            </w:r>
          </w:p>
        </w:tc>
        <w:tc>
          <w:tcPr>
            <w:tcW w:w="214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p>
        </w:tc>
        <w:tc>
          <w:tcPr>
            <w:tcW w:w="1197"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94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w:t>
            </w:r>
          </w:p>
        </w:tc>
        <w:tc>
          <w:tcPr>
            <w:tcW w:w="201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空盒气压表</w:t>
            </w:r>
          </w:p>
        </w:tc>
        <w:tc>
          <w:tcPr>
            <w:tcW w:w="15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p>
        </w:tc>
        <w:tc>
          <w:tcPr>
            <w:tcW w:w="2039"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10个</w:t>
            </w:r>
          </w:p>
        </w:tc>
        <w:tc>
          <w:tcPr>
            <w:tcW w:w="214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p>
        </w:tc>
        <w:tc>
          <w:tcPr>
            <w:tcW w:w="1197"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94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w:t>
            </w:r>
          </w:p>
        </w:tc>
        <w:tc>
          <w:tcPr>
            <w:tcW w:w="201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桌子（固定资产）</w:t>
            </w:r>
          </w:p>
        </w:tc>
        <w:tc>
          <w:tcPr>
            <w:tcW w:w="15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p>
        </w:tc>
        <w:tc>
          <w:tcPr>
            <w:tcW w:w="2039"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10个</w:t>
            </w:r>
          </w:p>
        </w:tc>
        <w:tc>
          <w:tcPr>
            <w:tcW w:w="214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p>
        </w:tc>
        <w:tc>
          <w:tcPr>
            <w:tcW w:w="1197"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94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w:t>
            </w:r>
          </w:p>
        </w:tc>
        <w:tc>
          <w:tcPr>
            <w:tcW w:w="201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文件柜（固定资产）</w:t>
            </w:r>
          </w:p>
        </w:tc>
        <w:tc>
          <w:tcPr>
            <w:tcW w:w="15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p>
        </w:tc>
        <w:tc>
          <w:tcPr>
            <w:tcW w:w="2039"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1个</w:t>
            </w:r>
          </w:p>
        </w:tc>
        <w:tc>
          <w:tcPr>
            <w:tcW w:w="214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p>
        </w:tc>
        <w:tc>
          <w:tcPr>
            <w:tcW w:w="1197"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94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w:t>
            </w:r>
          </w:p>
        </w:tc>
        <w:tc>
          <w:tcPr>
            <w:tcW w:w="201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操作规程挂图</w:t>
            </w:r>
          </w:p>
        </w:tc>
        <w:tc>
          <w:tcPr>
            <w:tcW w:w="15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（60*90）</w:t>
            </w:r>
          </w:p>
        </w:tc>
        <w:tc>
          <w:tcPr>
            <w:tcW w:w="2039"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w:t>
            </w:r>
          </w:p>
        </w:tc>
        <w:tc>
          <w:tcPr>
            <w:tcW w:w="214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p>
        </w:tc>
        <w:tc>
          <w:tcPr>
            <w:tcW w:w="1197"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94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w:t>
            </w:r>
          </w:p>
        </w:tc>
        <w:tc>
          <w:tcPr>
            <w:tcW w:w="201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实训室管理规则</w:t>
            </w:r>
          </w:p>
        </w:tc>
        <w:tc>
          <w:tcPr>
            <w:tcW w:w="15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（60*90）</w:t>
            </w:r>
          </w:p>
        </w:tc>
        <w:tc>
          <w:tcPr>
            <w:tcW w:w="2039"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w:t>
            </w:r>
          </w:p>
        </w:tc>
        <w:tc>
          <w:tcPr>
            <w:tcW w:w="214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p>
        </w:tc>
        <w:tc>
          <w:tcPr>
            <w:tcW w:w="1197"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94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w:t>
            </w:r>
          </w:p>
        </w:tc>
        <w:tc>
          <w:tcPr>
            <w:tcW w:w="201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数字气象仪</w:t>
            </w:r>
          </w:p>
        </w:tc>
        <w:tc>
          <w:tcPr>
            <w:tcW w:w="15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XZC2-2型</w:t>
            </w:r>
          </w:p>
        </w:tc>
        <w:tc>
          <w:tcPr>
            <w:tcW w:w="2039"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2台</w:t>
            </w:r>
          </w:p>
        </w:tc>
        <w:tc>
          <w:tcPr>
            <w:tcW w:w="214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p>
        </w:tc>
        <w:tc>
          <w:tcPr>
            <w:tcW w:w="1197"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94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9</w:t>
            </w:r>
          </w:p>
        </w:tc>
        <w:tc>
          <w:tcPr>
            <w:tcW w:w="201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计程仪</w:t>
            </w:r>
          </w:p>
        </w:tc>
        <w:tc>
          <w:tcPr>
            <w:tcW w:w="15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古野</w:t>
            </w:r>
          </w:p>
        </w:tc>
        <w:tc>
          <w:tcPr>
            <w:tcW w:w="2039"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2台（不要求运行）</w:t>
            </w:r>
          </w:p>
        </w:tc>
        <w:tc>
          <w:tcPr>
            <w:tcW w:w="214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p>
        </w:tc>
        <w:tc>
          <w:tcPr>
            <w:tcW w:w="1197"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94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w:t>
            </w:r>
          </w:p>
        </w:tc>
        <w:tc>
          <w:tcPr>
            <w:tcW w:w="201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GPS（全球定位系统接收机）</w:t>
            </w:r>
          </w:p>
        </w:tc>
        <w:tc>
          <w:tcPr>
            <w:tcW w:w="15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saracon</w:t>
            </w:r>
          </w:p>
        </w:tc>
        <w:tc>
          <w:tcPr>
            <w:tcW w:w="2039"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1台（不要求运行）</w:t>
            </w:r>
          </w:p>
        </w:tc>
        <w:tc>
          <w:tcPr>
            <w:tcW w:w="214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安放在陈列室</w:t>
            </w:r>
          </w:p>
        </w:tc>
        <w:tc>
          <w:tcPr>
            <w:tcW w:w="1197"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94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11</w:t>
            </w:r>
          </w:p>
        </w:tc>
        <w:tc>
          <w:tcPr>
            <w:tcW w:w="201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磁罗经</w:t>
            </w:r>
          </w:p>
        </w:tc>
        <w:tc>
          <w:tcPr>
            <w:tcW w:w="15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p>
        </w:tc>
        <w:tc>
          <w:tcPr>
            <w:tcW w:w="2039"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5台（4台不要求运行）</w:t>
            </w:r>
          </w:p>
        </w:tc>
        <w:tc>
          <w:tcPr>
            <w:tcW w:w="214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1台可用的放5楼仪器室；4台不可用的放2楼陈列室</w:t>
            </w:r>
          </w:p>
        </w:tc>
        <w:tc>
          <w:tcPr>
            <w:tcW w:w="1197"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94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12</w:t>
            </w:r>
          </w:p>
        </w:tc>
        <w:tc>
          <w:tcPr>
            <w:tcW w:w="201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柜式空调（加外机）</w:t>
            </w:r>
          </w:p>
        </w:tc>
        <w:tc>
          <w:tcPr>
            <w:tcW w:w="15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p>
        </w:tc>
        <w:tc>
          <w:tcPr>
            <w:tcW w:w="2039"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1台</w:t>
            </w:r>
          </w:p>
        </w:tc>
        <w:tc>
          <w:tcPr>
            <w:tcW w:w="214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p>
        </w:tc>
        <w:tc>
          <w:tcPr>
            <w:tcW w:w="1197"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94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宋体" w:hAnsi="宋体" w:eastAsia="宋体" w:cs="宋体"/>
                <w:color w:val="auto"/>
                <w:sz w:val="21"/>
                <w:szCs w:val="21"/>
                <w:highlight w:val="none"/>
                <w:lang w:eastAsia="zh-CN"/>
              </w:rPr>
              <w:t>■</w:t>
            </w:r>
            <w:r>
              <w:rPr>
                <w:rFonts w:hint="eastAsia" w:ascii="仿宋_GB2312" w:hAnsi="仿宋_GB2312" w:eastAsia="仿宋_GB2312" w:cs="仿宋_GB2312"/>
                <w:color w:val="auto"/>
                <w:kern w:val="0"/>
                <w:sz w:val="24"/>
                <w:szCs w:val="24"/>
                <w:highlight w:val="none"/>
              </w:rPr>
              <w:t>13</w:t>
            </w:r>
          </w:p>
        </w:tc>
        <w:tc>
          <w:tcPr>
            <w:tcW w:w="201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宋体" w:hAnsi="宋体" w:cs="宋体"/>
                <w:color w:val="auto"/>
                <w:kern w:val="0"/>
                <w:szCs w:val="21"/>
                <w:highlight w:val="none"/>
                <w:lang w:bidi="ar"/>
              </w:rPr>
              <w:t>●</w:t>
            </w:r>
            <w:r>
              <w:rPr>
                <w:rFonts w:hint="eastAsia" w:ascii="仿宋_GB2312" w:hAnsi="仿宋_GB2312" w:eastAsia="仿宋_GB2312" w:cs="仿宋_GB2312"/>
                <w:color w:val="auto"/>
                <w:kern w:val="0"/>
                <w:sz w:val="24"/>
                <w:szCs w:val="24"/>
                <w:highlight w:val="none"/>
              </w:rPr>
              <w:t>计程仪</w:t>
            </w:r>
          </w:p>
        </w:tc>
        <w:tc>
          <w:tcPr>
            <w:tcW w:w="15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JUNLU</w:t>
            </w:r>
          </w:p>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DS-90</w:t>
            </w:r>
          </w:p>
        </w:tc>
        <w:tc>
          <w:tcPr>
            <w:tcW w:w="2039"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2台（正常）</w:t>
            </w:r>
          </w:p>
        </w:tc>
        <w:tc>
          <w:tcPr>
            <w:tcW w:w="214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响应文件需提供图纸（或效果图）和安装方案；质保一年。见附图3</w:t>
            </w:r>
          </w:p>
        </w:tc>
        <w:tc>
          <w:tcPr>
            <w:tcW w:w="1197"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94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14</w:t>
            </w:r>
          </w:p>
        </w:tc>
        <w:tc>
          <w:tcPr>
            <w:tcW w:w="201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风向风速仪</w:t>
            </w:r>
          </w:p>
        </w:tc>
        <w:tc>
          <w:tcPr>
            <w:tcW w:w="15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p>
        </w:tc>
        <w:tc>
          <w:tcPr>
            <w:tcW w:w="2039"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2台（正常）</w:t>
            </w:r>
          </w:p>
        </w:tc>
        <w:tc>
          <w:tcPr>
            <w:tcW w:w="214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p>
        </w:tc>
        <w:tc>
          <w:tcPr>
            <w:tcW w:w="1197"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94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宋体" w:hAnsi="宋体" w:eastAsia="宋体" w:cs="宋体"/>
                <w:color w:val="auto"/>
                <w:sz w:val="21"/>
                <w:szCs w:val="21"/>
                <w:highlight w:val="none"/>
                <w:lang w:eastAsia="zh-CN"/>
              </w:rPr>
              <w:t>■</w:t>
            </w:r>
            <w:r>
              <w:rPr>
                <w:rFonts w:hint="eastAsia" w:ascii="仿宋_GB2312" w:hAnsi="仿宋_GB2312" w:eastAsia="仿宋_GB2312" w:cs="仿宋_GB2312"/>
                <w:color w:val="auto"/>
                <w:kern w:val="0"/>
                <w:sz w:val="24"/>
                <w:szCs w:val="24"/>
                <w:highlight w:val="none"/>
              </w:rPr>
              <w:t>15</w:t>
            </w:r>
          </w:p>
        </w:tc>
        <w:tc>
          <w:tcPr>
            <w:tcW w:w="201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宋体" w:hAnsi="宋体" w:cs="宋体"/>
                <w:color w:val="auto"/>
                <w:kern w:val="0"/>
                <w:szCs w:val="21"/>
                <w:highlight w:val="none"/>
                <w:lang w:bidi="ar"/>
              </w:rPr>
              <w:t>●</w:t>
            </w:r>
            <w:r>
              <w:rPr>
                <w:rFonts w:hint="eastAsia" w:ascii="仿宋_GB2312" w:hAnsi="仿宋_GB2312" w:eastAsia="仿宋_GB2312" w:cs="仿宋_GB2312"/>
                <w:color w:val="auto"/>
                <w:kern w:val="0"/>
                <w:sz w:val="24"/>
                <w:szCs w:val="24"/>
                <w:highlight w:val="none"/>
              </w:rPr>
              <w:t>航行数据记录仪或简易型航行数据记录仪</w:t>
            </w:r>
          </w:p>
        </w:tc>
        <w:tc>
          <w:tcPr>
            <w:tcW w:w="15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NSR</w:t>
            </w:r>
          </w:p>
        </w:tc>
        <w:tc>
          <w:tcPr>
            <w:tcW w:w="2039"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1套（正常）</w:t>
            </w:r>
          </w:p>
        </w:tc>
        <w:tc>
          <w:tcPr>
            <w:tcW w:w="214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响应文件需提供图纸（或效果图）和安装方案；质保一年。见附图4</w:t>
            </w:r>
          </w:p>
        </w:tc>
        <w:tc>
          <w:tcPr>
            <w:tcW w:w="1197"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94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16</w:t>
            </w:r>
          </w:p>
        </w:tc>
        <w:tc>
          <w:tcPr>
            <w:tcW w:w="201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宋体" w:hAnsi="宋体" w:cs="宋体"/>
                <w:color w:val="auto"/>
                <w:kern w:val="0"/>
                <w:szCs w:val="21"/>
                <w:highlight w:val="none"/>
                <w:lang w:bidi="ar"/>
              </w:rPr>
              <w:t>●</w:t>
            </w:r>
            <w:r>
              <w:rPr>
                <w:rFonts w:hint="eastAsia" w:ascii="仿宋_GB2312" w:hAnsi="仿宋_GB2312" w:eastAsia="仿宋_GB2312" w:cs="仿宋_GB2312"/>
                <w:color w:val="auto"/>
                <w:kern w:val="0"/>
                <w:sz w:val="24"/>
                <w:szCs w:val="24"/>
                <w:highlight w:val="none"/>
              </w:rPr>
              <w:t>GPS（全球定位系统接收机）</w:t>
            </w:r>
          </w:p>
        </w:tc>
        <w:tc>
          <w:tcPr>
            <w:tcW w:w="15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NGR-1000</w:t>
            </w:r>
          </w:p>
        </w:tc>
        <w:tc>
          <w:tcPr>
            <w:tcW w:w="2039"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2台（正常）</w:t>
            </w:r>
          </w:p>
        </w:tc>
        <w:tc>
          <w:tcPr>
            <w:tcW w:w="214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响应文件需提供图纸（或效果图）和安装方案；质保一年。见附图5</w:t>
            </w:r>
          </w:p>
        </w:tc>
        <w:tc>
          <w:tcPr>
            <w:tcW w:w="1197"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94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17</w:t>
            </w:r>
          </w:p>
        </w:tc>
        <w:tc>
          <w:tcPr>
            <w:tcW w:w="201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宋体" w:hAnsi="宋体" w:cs="宋体"/>
                <w:color w:val="auto"/>
                <w:kern w:val="0"/>
                <w:szCs w:val="21"/>
                <w:highlight w:val="none"/>
                <w:lang w:bidi="ar"/>
              </w:rPr>
              <w:t>●</w:t>
            </w:r>
            <w:r>
              <w:rPr>
                <w:rFonts w:hint="eastAsia" w:ascii="仿宋_GB2312" w:hAnsi="仿宋_GB2312" w:eastAsia="仿宋_GB2312" w:cs="仿宋_GB2312"/>
                <w:color w:val="auto"/>
                <w:kern w:val="0"/>
                <w:sz w:val="24"/>
                <w:szCs w:val="24"/>
                <w:highlight w:val="none"/>
              </w:rPr>
              <w:t>AIS（船舶自动识别系统）</w:t>
            </w:r>
          </w:p>
        </w:tc>
        <w:tc>
          <w:tcPr>
            <w:tcW w:w="15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SNMYUNG</w:t>
            </w:r>
          </w:p>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S1-30</w:t>
            </w:r>
          </w:p>
        </w:tc>
        <w:tc>
          <w:tcPr>
            <w:tcW w:w="2039"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1台（正常）</w:t>
            </w:r>
          </w:p>
        </w:tc>
        <w:tc>
          <w:tcPr>
            <w:tcW w:w="214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响应文件需提供图纸（或效果图）和安装方案；质保一年。见附图6</w:t>
            </w:r>
          </w:p>
        </w:tc>
        <w:tc>
          <w:tcPr>
            <w:tcW w:w="1197"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94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18</w:t>
            </w:r>
          </w:p>
        </w:tc>
        <w:tc>
          <w:tcPr>
            <w:tcW w:w="201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宋体" w:hAnsi="宋体" w:cs="宋体"/>
                <w:color w:val="auto"/>
                <w:kern w:val="0"/>
                <w:szCs w:val="21"/>
                <w:highlight w:val="none"/>
                <w:lang w:bidi="ar"/>
              </w:rPr>
              <w:t>●</w:t>
            </w:r>
            <w:r>
              <w:rPr>
                <w:rFonts w:hint="eastAsia" w:ascii="仿宋_GB2312" w:hAnsi="仿宋_GB2312" w:eastAsia="仿宋_GB2312" w:cs="仿宋_GB2312"/>
                <w:color w:val="auto"/>
                <w:kern w:val="0"/>
                <w:sz w:val="24"/>
                <w:szCs w:val="24"/>
                <w:highlight w:val="none"/>
              </w:rPr>
              <w:t>AIS（船舶自动识别系统）</w:t>
            </w:r>
          </w:p>
        </w:tc>
        <w:tc>
          <w:tcPr>
            <w:tcW w:w="15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NSR-1000</w:t>
            </w:r>
          </w:p>
        </w:tc>
        <w:tc>
          <w:tcPr>
            <w:tcW w:w="2039"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1台（正常）</w:t>
            </w:r>
          </w:p>
        </w:tc>
        <w:tc>
          <w:tcPr>
            <w:tcW w:w="214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响应文件需提供图纸（或效果图）和安装方案。质保一年。见附图7</w:t>
            </w:r>
          </w:p>
        </w:tc>
        <w:tc>
          <w:tcPr>
            <w:tcW w:w="1197"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94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宋体" w:hAnsi="宋体" w:eastAsia="宋体" w:cs="宋体"/>
                <w:color w:val="auto"/>
                <w:sz w:val="21"/>
                <w:szCs w:val="21"/>
                <w:highlight w:val="none"/>
                <w:lang w:eastAsia="zh-CN"/>
              </w:rPr>
              <w:t>■</w:t>
            </w:r>
            <w:r>
              <w:rPr>
                <w:rFonts w:hint="eastAsia" w:ascii="仿宋_GB2312" w:hAnsi="仿宋_GB2312" w:eastAsia="仿宋_GB2312" w:cs="仿宋_GB2312"/>
                <w:color w:val="auto"/>
                <w:kern w:val="0"/>
                <w:sz w:val="24"/>
                <w:szCs w:val="24"/>
                <w:highlight w:val="none"/>
              </w:rPr>
              <w:t>19</w:t>
            </w:r>
          </w:p>
        </w:tc>
        <w:tc>
          <w:tcPr>
            <w:tcW w:w="201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宋体" w:hAnsi="宋体" w:cs="宋体"/>
                <w:color w:val="auto"/>
                <w:kern w:val="0"/>
                <w:szCs w:val="21"/>
                <w:highlight w:val="none"/>
                <w:lang w:bidi="ar"/>
              </w:rPr>
              <w:t>●</w:t>
            </w:r>
            <w:r>
              <w:rPr>
                <w:rFonts w:hint="eastAsia" w:ascii="仿宋_GB2312" w:hAnsi="仿宋_GB2312" w:eastAsia="仿宋_GB2312" w:cs="仿宋_GB2312"/>
                <w:color w:val="auto"/>
                <w:kern w:val="0"/>
                <w:sz w:val="24"/>
                <w:szCs w:val="24"/>
                <w:highlight w:val="none"/>
              </w:rPr>
              <w:t>雷达</w:t>
            </w:r>
          </w:p>
        </w:tc>
        <w:tc>
          <w:tcPr>
            <w:tcW w:w="15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古野3台、JRC 1台、KODEN 1台</w:t>
            </w:r>
          </w:p>
        </w:tc>
        <w:tc>
          <w:tcPr>
            <w:tcW w:w="2039"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3台古野</w:t>
            </w:r>
            <w:r>
              <w:rPr>
                <w:rFonts w:hint="eastAsia" w:ascii="仿宋_GB2312" w:hAnsi="仿宋_GB2312" w:eastAsia="仿宋_GB2312" w:cs="仿宋_GB2312"/>
                <w:color w:val="auto"/>
                <w:kern w:val="0"/>
                <w:sz w:val="24"/>
                <w:szCs w:val="24"/>
                <w:highlight w:val="none"/>
              </w:rPr>
              <w:t>不要求运行</w:t>
            </w:r>
            <w:r>
              <w:rPr>
                <w:rFonts w:hint="eastAsia" w:ascii="仿宋_GB2312" w:hAnsi="仿宋_GB2312" w:eastAsia="仿宋_GB2312" w:cs="仿宋_GB2312"/>
                <w:color w:val="auto"/>
                <w:sz w:val="24"/>
                <w:szCs w:val="24"/>
                <w:highlight w:val="none"/>
              </w:rPr>
              <w:t>、1台JRC不可用、1台KODEN可用</w:t>
            </w:r>
          </w:p>
        </w:tc>
        <w:tc>
          <w:tcPr>
            <w:tcW w:w="214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可用的1台雷达（见附图8）</w:t>
            </w:r>
            <w:r>
              <w:rPr>
                <w:rFonts w:hint="eastAsia" w:ascii="仿宋_GB2312" w:hAnsi="仿宋_GB2312" w:eastAsia="仿宋_GB2312" w:cs="仿宋_GB2312"/>
                <w:color w:val="auto"/>
                <w:sz w:val="24"/>
                <w:szCs w:val="24"/>
                <w:highlight w:val="none"/>
              </w:rPr>
              <w:t>响应文件需提供图纸（或效果图）和安装方案；4台不可用的放陈列室，质保一年。</w:t>
            </w:r>
          </w:p>
        </w:tc>
        <w:tc>
          <w:tcPr>
            <w:tcW w:w="1197"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94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宋体" w:hAnsi="宋体" w:eastAsia="宋体" w:cs="宋体"/>
                <w:color w:val="auto"/>
                <w:sz w:val="21"/>
                <w:szCs w:val="21"/>
                <w:highlight w:val="none"/>
                <w:lang w:eastAsia="zh-CN"/>
              </w:rPr>
              <w:t>■</w:t>
            </w:r>
            <w:r>
              <w:rPr>
                <w:rFonts w:hint="eastAsia" w:ascii="仿宋_GB2312" w:hAnsi="仿宋_GB2312" w:eastAsia="仿宋_GB2312" w:cs="仿宋_GB2312"/>
                <w:color w:val="auto"/>
                <w:kern w:val="0"/>
                <w:sz w:val="24"/>
                <w:szCs w:val="24"/>
                <w:highlight w:val="none"/>
              </w:rPr>
              <w:t xml:space="preserve">20           </w:t>
            </w:r>
          </w:p>
        </w:tc>
        <w:tc>
          <w:tcPr>
            <w:tcW w:w="201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宋体" w:hAnsi="宋体" w:cs="宋体"/>
                <w:color w:val="auto"/>
                <w:kern w:val="0"/>
                <w:szCs w:val="21"/>
                <w:highlight w:val="none"/>
                <w:lang w:bidi="ar"/>
              </w:rPr>
              <w:t>●</w:t>
            </w:r>
            <w:r>
              <w:rPr>
                <w:rFonts w:hint="eastAsia" w:ascii="仿宋_GB2312" w:hAnsi="仿宋_GB2312" w:eastAsia="仿宋_GB2312" w:cs="仿宋_GB2312"/>
                <w:color w:val="auto"/>
                <w:kern w:val="0"/>
                <w:sz w:val="24"/>
                <w:szCs w:val="24"/>
                <w:highlight w:val="none"/>
              </w:rPr>
              <w:t>陀螺罗经</w:t>
            </w:r>
          </w:p>
        </w:tc>
        <w:tc>
          <w:tcPr>
            <w:tcW w:w="15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(阿玛勃朗、安许茨4型、斯伯利37型)</w:t>
            </w:r>
          </w:p>
        </w:tc>
        <w:tc>
          <w:tcPr>
            <w:tcW w:w="2039"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3台（2台不要求运行，1台斯伯利37型可用）</w:t>
            </w:r>
          </w:p>
        </w:tc>
        <w:tc>
          <w:tcPr>
            <w:tcW w:w="214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1台可用的（</w:t>
            </w:r>
            <w:r>
              <w:rPr>
                <w:rFonts w:hint="eastAsia" w:ascii="仿宋_GB2312" w:hAnsi="仿宋_GB2312" w:eastAsia="仿宋_GB2312" w:cs="仿宋_GB2312"/>
                <w:color w:val="auto"/>
                <w:sz w:val="24"/>
                <w:szCs w:val="24"/>
                <w:highlight w:val="none"/>
              </w:rPr>
              <w:t>见附图9）响应文件需提供图纸（或效果图）和安装方案；</w:t>
            </w:r>
            <w:r>
              <w:rPr>
                <w:rFonts w:hint="eastAsia" w:ascii="仿宋_GB2312" w:hAnsi="仿宋_GB2312" w:eastAsia="仿宋_GB2312" w:cs="仿宋_GB2312"/>
                <w:color w:val="auto"/>
                <w:kern w:val="0"/>
                <w:sz w:val="24"/>
                <w:szCs w:val="24"/>
                <w:highlight w:val="none"/>
              </w:rPr>
              <w:t>2台不可用的放2楼陈列室。</w:t>
            </w:r>
            <w:r>
              <w:rPr>
                <w:rFonts w:hint="eastAsia" w:ascii="仿宋_GB2312" w:hAnsi="仿宋_GB2312" w:eastAsia="仿宋_GB2312" w:cs="仿宋_GB2312"/>
                <w:color w:val="auto"/>
                <w:sz w:val="24"/>
                <w:szCs w:val="24"/>
                <w:highlight w:val="none"/>
              </w:rPr>
              <w:t>质保一年。</w:t>
            </w:r>
          </w:p>
        </w:tc>
        <w:tc>
          <w:tcPr>
            <w:tcW w:w="1197"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94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宋体" w:hAnsi="宋体" w:eastAsia="宋体" w:cs="宋体"/>
                <w:color w:val="auto"/>
                <w:sz w:val="21"/>
                <w:szCs w:val="21"/>
                <w:highlight w:val="none"/>
                <w:lang w:eastAsia="zh-CN"/>
              </w:rPr>
              <w:t>■</w:t>
            </w:r>
            <w:r>
              <w:rPr>
                <w:rFonts w:hint="eastAsia" w:ascii="仿宋_GB2312" w:hAnsi="仿宋_GB2312" w:eastAsia="仿宋_GB2312" w:cs="仿宋_GB2312"/>
                <w:color w:val="auto"/>
                <w:kern w:val="0"/>
                <w:sz w:val="24"/>
                <w:szCs w:val="24"/>
                <w:highlight w:val="none"/>
              </w:rPr>
              <w:t>21</w:t>
            </w:r>
          </w:p>
        </w:tc>
        <w:tc>
          <w:tcPr>
            <w:tcW w:w="201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宋体" w:hAnsi="宋体" w:cs="宋体"/>
                <w:color w:val="auto"/>
                <w:kern w:val="0"/>
                <w:szCs w:val="21"/>
                <w:highlight w:val="none"/>
                <w:lang w:bidi="ar"/>
              </w:rPr>
              <w:t>●</w:t>
            </w:r>
            <w:r>
              <w:rPr>
                <w:rFonts w:hint="eastAsia" w:ascii="仿宋_GB2312" w:hAnsi="仿宋_GB2312" w:eastAsia="仿宋_GB2312" w:cs="仿宋_GB2312"/>
                <w:color w:val="auto"/>
                <w:kern w:val="0"/>
                <w:sz w:val="24"/>
                <w:szCs w:val="24"/>
                <w:highlight w:val="none"/>
              </w:rPr>
              <w:t>测深仪</w:t>
            </w:r>
          </w:p>
        </w:tc>
        <w:tc>
          <w:tcPr>
            <w:tcW w:w="15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SIMRAD</w:t>
            </w:r>
          </w:p>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ED161</w:t>
            </w:r>
          </w:p>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(ED162)、JUNLU DS-90</w:t>
            </w:r>
          </w:p>
        </w:tc>
        <w:tc>
          <w:tcPr>
            <w:tcW w:w="2039"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3台（2台可用）</w:t>
            </w:r>
          </w:p>
        </w:tc>
        <w:tc>
          <w:tcPr>
            <w:tcW w:w="214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1台可用的（</w:t>
            </w:r>
            <w:r>
              <w:rPr>
                <w:rFonts w:hint="eastAsia" w:ascii="仿宋_GB2312" w:hAnsi="仿宋_GB2312" w:eastAsia="仿宋_GB2312" w:cs="仿宋_GB2312"/>
                <w:color w:val="auto"/>
                <w:sz w:val="24"/>
                <w:szCs w:val="24"/>
                <w:highlight w:val="none"/>
              </w:rPr>
              <w:t>见附图10）响应文件需提供图纸（或效果图）和安装方案；</w:t>
            </w:r>
            <w:r>
              <w:rPr>
                <w:rFonts w:hint="eastAsia" w:ascii="仿宋_GB2312" w:hAnsi="仿宋_GB2312" w:eastAsia="仿宋_GB2312" w:cs="仿宋_GB2312"/>
                <w:color w:val="auto"/>
                <w:kern w:val="0"/>
                <w:sz w:val="24"/>
                <w:szCs w:val="24"/>
                <w:highlight w:val="none"/>
              </w:rPr>
              <w:t>1台不可用的放2楼陈列室。</w:t>
            </w:r>
            <w:r>
              <w:rPr>
                <w:rFonts w:hint="eastAsia" w:ascii="仿宋_GB2312" w:hAnsi="仿宋_GB2312" w:eastAsia="仿宋_GB2312" w:cs="仿宋_GB2312"/>
                <w:color w:val="auto"/>
                <w:sz w:val="24"/>
                <w:szCs w:val="24"/>
                <w:highlight w:val="none"/>
              </w:rPr>
              <w:t>质保一年。</w:t>
            </w:r>
          </w:p>
        </w:tc>
        <w:tc>
          <w:tcPr>
            <w:tcW w:w="1197"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94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宋体" w:hAnsi="宋体" w:eastAsia="宋体" w:cs="宋体"/>
                <w:color w:val="auto"/>
                <w:sz w:val="21"/>
                <w:szCs w:val="21"/>
                <w:highlight w:val="none"/>
                <w:lang w:eastAsia="zh-CN"/>
              </w:rPr>
              <w:t>■</w:t>
            </w:r>
            <w:r>
              <w:rPr>
                <w:rFonts w:hint="eastAsia" w:ascii="仿宋_GB2312" w:hAnsi="仿宋_GB2312" w:eastAsia="仿宋_GB2312" w:cs="仿宋_GB2312"/>
                <w:color w:val="auto"/>
                <w:kern w:val="0"/>
                <w:sz w:val="24"/>
                <w:szCs w:val="24"/>
                <w:highlight w:val="none"/>
              </w:rPr>
              <w:t>22</w:t>
            </w:r>
          </w:p>
        </w:tc>
        <w:tc>
          <w:tcPr>
            <w:tcW w:w="201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宋体" w:hAnsi="宋体" w:cs="宋体"/>
                <w:color w:val="auto"/>
                <w:kern w:val="0"/>
                <w:szCs w:val="21"/>
                <w:highlight w:val="none"/>
                <w:lang w:bidi="ar"/>
              </w:rPr>
              <w:t>●</w:t>
            </w:r>
            <w:r>
              <w:rPr>
                <w:rFonts w:hint="eastAsia" w:ascii="仿宋_GB2312" w:hAnsi="仿宋_GB2312" w:eastAsia="仿宋_GB2312" w:cs="仿宋_GB2312"/>
                <w:color w:val="auto"/>
                <w:kern w:val="0"/>
                <w:sz w:val="24"/>
                <w:szCs w:val="24"/>
                <w:highlight w:val="none"/>
              </w:rPr>
              <w:t>陀螺仪</w:t>
            </w:r>
          </w:p>
        </w:tc>
        <w:tc>
          <w:tcPr>
            <w:tcW w:w="151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TKG-1000</w:t>
            </w:r>
          </w:p>
        </w:tc>
        <w:tc>
          <w:tcPr>
            <w:tcW w:w="2039"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1台（可用）</w:t>
            </w:r>
          </w:p>
        </w:tc>
        <w:tc>
          <w:tcPr>
            <w:tcW w:w="2146"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响应文件需提供图纸（或效果图）和安装方案。质保一年。见附图11</w:t>
            </w:r>
          </w:p>
        </w:tc>
        <w:tc>
          <w:tcPr>
            <w:tcW w:w="1197" w:type="dxa"/>
            <w:vMerge w:val="continue"/>
            <w:tcBorders>
              <w:left w:val="single" w:color="000000" w:sz="2" w:space="0"/>
              <w:right w:val="single" w:color="000000" w:sz="2" w:space="0"/>
            </w:tcBorders>
            <w:shd w:val="clear" w:color="auto" w:fill="auto"/>
            <w:vAlign w:val="center"/>
          </w:tcPr>
          <w:p>
            <w:pPr>
              <w:rPr>
                <w:rStyle w:val="55"/>
                <w:rFonts w:hAnsi="仿宋_GB2312"/>
                <w:color w:val="auto"/>
                <w:sz w:val="24"/>
                <w:szCs w:val="24"/>
                <w:highlight w:val="none"/>
              </w:rPr>
            </w:pPr>
          </w:p>
        </w:tc>
      </w:tr>
      <w:tr>
        <w:tblPrEx>
          <w:tblCellMar>
            <w:top w:w="0" w:type="dxa"/>
            <w:left w:w="108" w:type="dxa"/>
            <w:bottom w:w="0" w:type="dxa"/>
            <w:right w:w="108" w:type="dxa"/>
          </w:tblCellMar>
        </w:tblPrEx>
        <w:trPr>
          <w:trHeight w:val="340" w:hRule="atLeast"/>
          <w:jc w:val="center"/>
        </w:trPr>
        <w:tc>
          <w:tcPr>
            <w:tcW w:w="948"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hAnsi="仿宋_GB2312" w:eastAsia="仿宋_GB2312" w:cs="仿宋_GB2312"/>
                <w:b/>
                <w:color w:val="auto"/>
                <w:kern w:val="0"/>
                <w:sz w:val="24"/>
                <w:szCs w:val="24"/>
                <w:highlight w:val="none"/>
              </w:rPr>
            </w:pPr>
          </w:p>
        </w:tc>
        <w:tc>
          <w:tcPr>
            <w:tcW w:w="7719" w:type="dxa"/>
            <w:gridSpan w:val="4"/>
            <w:tcBorders>
              <w:top w:val="single" w:color="000000" w:sz="2" w:space="0"/>
              <w:left w:val="single" w:color="000000" w:sz="2" w:space="0"/>
              <w:bottom w:val="single" w:color="000000" w:sz="2" w:space="0"/>
              <w:right w:val="single" w:color="000000" w:sz="2" w:space="0"/>
            </w:tcBorders>
            <w:shd w:val="clear" w:color="auto" w:fill="auto"/>
            <w:vAlign w:val="center"/>
          </w:tcPr>
          <w:p>
            <w:pPr>
              <w:jc w:val="left"/>
              <w:rPr>
                <w:rFonts w:ascii="仿宋_GB2312" w:hAnsi="仿宋_GB2312" w:eastAsia="仿宋_GB2312" w:cs="仿宋_GB2312"/>
                <w:b/>
                <w:color w:val="auto"/>
                <w:kern w:val="0"/>
                <w:sz w:val="24"/>
                <w:szCs w:val="24"/>
                <w:highlight w:val="none"/>
              </w:rPr>
            </w:pPr>
          </w:p>
        </w:tc>
        <w:tc>
          <w:tcPr>
            <w:tcW w:w="1197"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left"/>
              <w:rPr>
                <w:rFonts w:ascii="仿宋_GB2312" w:hAnsi="仿宋_GB2312" w:eastAsia="仿宋_GB2312" w:cs="仿宋_GB2312"/>
                <w:b/>
                <w:color w:val="auto"/>
                <w:kern w:val="0"/>
                <w:sz w:val="24"/>
                <w:szCs w:val="24"/>
                <w:highlight w:val="none"/>
              </w:rPr>
            </w:pPr>
          </w:p>
        </w:tc>
      </w:tr>
    </w:tbl>
    <w:p>
      <w:pPr>
        <w:jc w:val="left"/>
        <w:rPr>
          <w:rFonts w:ascii="仿宋_GB2312" w:eastAsia="仿宋_GB2312"/>
          <w:color w:val="auto"/>
          <w:kern w:val="0"/>
          <w:sz w:val="24"/>
          <w:szCs w:val="24"/>
          <w:highlight w:val="none"/>
        </w:rPr>
      </w:pPr>
      <w:r>
        <w:rPr>
          <w:rFonts w:hint="eastAsia" w:ascii="仿宋_GB2312" w:eastAsia="仿宋_GB2312"/>
          <w:b/>
          <w:bCs/>
          <w:color w:val="auto"/>
          <w:kern w:val="0"/>
          <w:sz w:val="24"/>
          <w:szCs w:val="24"/>
          <w:highlight w:val="none"/>
        </w:rPr>
        <w:t>备注：</w:t>
      </w:r>
      <w:r>
        <w:rPr>
          <w:rFonts w:hint="eastAsia" w:ascii="仿宋_GB2312" w:eastAsia="仿宋_GB2312"/>
          <w:color w:val="auto"/>
          <w:kern w:val="0"/>
          <w:sz w:val="24"/>
          <w:szCs w:val="24"/>
          <w:highlight w:val="none"/>
        </w:rPr>
        <w:t>打包搬迁、按引导员指定的位置摆放整齐，挂图需要拆除并上墙；可用仪器需通电调试至正常使用，不可用仪器摆放整齐，另外通导设备天线也需要拆除安装。</w:t>
      </w:r>
    </w:p>
    <w:p>
      <w:pPr>
        <w:spacing w:line="340" w:lineRule="exact"/>
        <w:jc w:val="left"/>
        <w:rPr>
          <w:rFonts w:ascii="黑体" w:hAnsi="黑体" w:eastAsia="黑体"/>
          <w:color w:val="auto"/>
          <w:kern w:val="2"/>
          <w:sz w:val="28"/>
          <w:szCs w:val="36"/>
          <w:highlight w:val="none"/>
        </w:rPr>
      </w:pPr>
      <w:r>
        <w:rPr>
          <w:rFonts w:hint="eastAsia" w:ascii="黑体" w:hAnsi="黑体" w:eastAsia="黑体"/>
          <w:color w:val="auto"/>
          <w:kern w:val="2"/>
          <w:sz w:val="28"/>
          <w:szCs w:val="36"/>
          <w:highlight w:val="none"/>
        </w:rPr>
        <w:t>（五）水上训练中心实训室</w:t>
      </w:r>
    </w:p>
    <w:tbl>
      <w:tblPr>
        <w:tblStyle w:val="23"/>
        <w:tblW w:w="10004" w:type="dxa"/>
        <w:jc w:val="center"/>
        <w:tblLayout w:type="fixed"/>
        <w:tblCellMar>
          <w:top w:w="0" w:type="dxa"/>
          <w:left w:w="108" w:type="dxa"/>
          <w:bottom w:w="0" w:type="dxa"/>
          <w:right w:w="108" w:type="dxa"/>
        </w:tblCellMar>
      </w:tblPr>
      <w:tblGrid>
        <w:gridCol w:w="781"/>
        <w:gridCol w:w="3764"/>
        <w:gridCol w:w="1077"/>
        <w:gridCol w:w="3092"/>
        <w:gridCol w:w="1290"/>
      </w:tblGrid>
      <w:tr>
        <w:tblPrEx>
          <w:tblCellMar>
            <w:top w:w="0" w:type="dxa"/>
            <w:left w:w="108" w:type="dxa"/>
            <w:bottom w:w="0" w:type="dxa"/>
            <w:right w:w="108" w:type="dxa"/>
          </w:tblCellMar>
        </w:tblPrEx>
        <w:trPr>
          <w:trHeight w:val="340"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kern w:val="0"/>
                <w:sz w:val="24"/>
                <w:szCs w:val="24"/>
                <w:highlight w:val="none"/>
              </w:rPr>
              <w:t>序号</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设备名称</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kern w:val="0"/>
                <w:sz w:val="24"/>
                <w:szCs w:val="24"/>
                <w:highlight w:val="none"/>
              </w:rPr>
              <w:t>实际数量</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t>特殊要求</w:t>
            </w:r>
          </w:p>
        </w:tc>
        <w:tc>
          <w:tcPr>
            <w:tcW w:w="1290"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t>备注</w:t>
            </w:r>
          </w:p>
        </w:tc>
      </w:tr>
      <w:tr>
        <w:tblPrEx>
          <w:tblCellMar>
            <w:top w:w="0" w:type="dxa"/>
            <w:left w:w="108" w:type="dxa"/>
            <w:bottom w:w="0" w:type="dxa"/>
            <w:right w:w="108" w:type="dxa"/>
          </w:tblCellMar>
        </w:tblPrEx>
        <w:trPr>
          <w:trHeight w:val="312"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救生衣</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80件</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restart"/>
            <w:tcBorders>
              <w:top w:val="single" w:color="000000" w:sz="2" w:space="0"/>
              <w:left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b/>
                <w:bCs/>
                <w:color w:val="auto"/>
                <w:kern w:val="0"/>
                <w:sz w:val="24"/>
                <w:szCs w:val="24"/>
                <w:highlight w:val="none"/>
              </w:rPr>
            </w:pPr>
          </w:p>
          <w:p>
            <w:pPr>
              <w:widowControl/>
              <w:jc w:val="center"/>
              <w:textAlignment w:val="center"/>
              <w:rPr>
                <w:rFonts w:ascii="仿宋_GB2312" w:hAnsi="仿宋_GB2312" w:eastAsia="仿宋_GB2312" w:cs="仿宋_GB2312"/>
                <w:b/>
                <w:bCs/>
                <w:color w:val="auto"/>
                <w:kern w:val="0"/>
                <w:sz w:val="24"/>
                <w:szCs w:val="24"/>
                <w:highlight w:val="none"/>
              </w:rPr>
            </w:pPr>
          </w:p>
          <w:p>
            <w:pPr>
              <w:widowControl/>
              <w:jc w:val="center"/>
              <w:textAlignment w:val="center"/>
              <w:rPr>
                <w:rFonts w:ascii="仿宋_GB2312" w:hAnsi="仿宋_GB2312" w:eastAsia="仿宋_GB2312" w:cs="仿宋_GB2312"/>
                <w:b/>
                <w:bCs/>
                <w:color w:val="auto"/>
                <w:kern w:val="0"/>
                <w:sz w:val="24"/>
                <w:szCs w:val="24"/>
                <w:highlight w:val="none"/>
              </w:rPr>
            </w:pPr>
          </w:p>
          <w:p>
            <w:pPr>
              <w:widowControl/>
              <w:jc w:val="center"/>
              <w:textAlignment w:val="center"/>
              <w:rPr>
                <w:rFonts w:ascii="仿宋_GB2312" w:hAnsi="仿宋_GB2312" w:eastAsia="仿宋_GB2312" w:cs="仿宋_GB2312"/>
                <w:b/>
                <w:bCs/>
                <w:color w:val="auto"/>
                <w:kern w:val="0"/>
                <w:sz w:val="24"/>
                <w:szCs w:val="24"/>
                <w:highlight w:val="none"/>
              </w:rPr>
            </w:pPr>
          </w:p>
          <w:p>
            <w:pPr>
              <w:widowControl/>
              <w:jc w:val="center"/>
              <w:textAlignment w:val="center"/>
              <w:rPr>
                <w:rFonts w:ascii="仿宋_GB2312" w:hAnsi="仿宋_GB2312" w:eastAsia="仿宋_GB2312" w:cs="仿宋_GB2312"/>
                <w:b/>
                <w:bCs/>
                <w:color w:val="auto"/>
                <w:kern w:val="0"/>
                <w:sz w:val="24"/>
                <w:szCs w:val="24"/>
                <w:highlight w:val="none"/>
              </w:rPr>
            </w:pPr>
          </w:p>
          <w:p>
            <w:pPr>
              <w:widowControl/>
              <w:jc w:val="center"/>
              <w:textAlignment w:val="center"/>
              <w:rPr>
                <w:rFonts w:ascii="仿宋_GB2312" w:hAnsi="仿宋_GB2312" w:eastAsia="仿宋_GB2312" w:cs="仿宋_GB2312"/>
                <w:b/>
                <w:bCs/>
                <w:color w:val="auto"/>
                <w:kern w:val="0"/>
                <w:sz w:val="24"/>
                <w:szCs w:val="24"/>
                <w:highlight w:val="none"/>
              </w:rPr>
            </w:pPr>
          </w:p>
          <w:p>
            <w:pPr>
              <w:widowControl/>
              <w:jc w:val="center"/>
              <w:textAlignment w:val="center"/>
              <w:rPr>
                <w:rFonts w:ascii="仿宋_GB2312" w:hAnsi="仿宋_GB2312" w:eastAsia="仿宋_GB2312" w:cs="仿宋_GB2312"/>
                <w:b/>
                <w:bCs/>
                <w:color w:val="auto"/>
                <w:kern w:val="0"/>
                <w:sz w:val="24"/>
                <w:szCs w:val="24"/>
                <w:highlight w:val="none"/>
              </w:rPr>
            </w:pPr>
          </w:p>
          <w:p>
            <w:pPr>
              <w:widowControl/>
              <w:jc w:val="center"/>
              <w:textAlignment w:val="center"/>
              <w:rPr>
                <w:rFonts w:ascii="仿宋_GB2312" w:hAnsi="仿宋_GB2312" w:eastAsia="仿宋_GB2312" w:cs="仿宋_GB2312"/>
                <w:b/>
                <w:bCs/>
                <w:color w:val="auto"/>
                <w:kern w:val="0"/>
                <w:sz w:val="24"/>
                <w:szCs w:val="24"/>
                <w:highlight w:val="none"/>
              </w:rPr>
            </w:pPr>
          </w:p>
          <w:p>
            <w:pPr>
              <w:widowControl/>
              <w:jc w:val="center"/>
              <w:textAlignment w:val="center"/>
              <w:rPr>
                <w:rFonts w:ascii="仿宋_GB2312" w:hAnsi="仿宋_GB2312" w:eastAsia="仿宋_GB2312" w:cs="仿宋_GB2312"/>
                <w:b/>
                <w:bCs/>
                <w:color w:val="auto"/>
                <w:kern w:val="0"/>
                <w:sz w:val="24"/>
                <w:szCs w:val="24"/>
                <w:highlight w:val="none"/>
              </w:rPr>
            </w:pPr>
          </w:p>
          <w:p>
            <w:pPr>
              <w:widowControl/>
              <w:jc w:val="center"/>
              <w:textAlignment w:val="center"/>
              <w:rPr>
                <w:rFonts w:ascii="仿宋_GB2312" w:hAnsi="仿宋_GB2312" w:eastAsia="仿宋_GB2312" w:cs="仿宋_GB2312"/>
                <w:b/>
                <w:bCs/>
                <w:color w:val="auto"/>
                <w:kern w:val="0"/>
                <w:sz w:val="24"/>
                <w:szCs w:val="24"/>
                <w:highlight w:val="none"/>
              </w:rPr>
            </w:pPr>
          </w:p>
          <w:p>
            <w:pPr>
              <w:widowControl/>
              <w:jc w:val="center"/>
              <w:textAlignment w:val="center"/>
              <w:rPr>
                <w:rFonts w:ascii="仿宋_GB2312" w:hAnsi="仿宋_GB2312" w:eastAsia="仿宋_GB2312" w:cs="仿宋_GB2312"/>
                <w:b/>
                <w:bCs/>
                <w:color w:val="auto"/>
                <w:kern w:val="0"/>
                <w:sz w:val="24"/>
                <w:szCs w:val="24"/>
                <w:highlight w:val="none"/>
              </w:rPr>
            </w:pPr>
          </w:p>
          <w:p>
            <w:pPr>
              <w:widowControl/>
              <w:jc w:val="center"/>
              <w:textAlignment w:val="center"/>
              <w:rPr>
                <w:rFonts w:ascii="仿宋_GB2312" w:hAnsi="仿宋_GB2312" w:eastAsia="仿宋_GB2312" w:cs="仿宋_GB2312"/>
                <w:b/>
                <w:bCs/>
                <w:color w:val="auto"/>
                <w:kern w:val="0"/>
                <w:sz w:val="24"/>
                <w:szCs w:val="24"/>
                <w:highlight w:val="none"/>
              </w:rPr>
            </w:pPr>
          </w:p>
          <w:p>
            <w:pPr>
              <w:widowControl/>
              <w:jc w:val="center"/>
              <w:textAlignment w:val="center"/>
              <w:rPr>
                <w:rFonts w:ascii="仿宋_GB2312" w:hAnsi="仿宋_GB2312" w:eastAsia="仿宋_GB2312" w:cs="仿宋_GB2312"/>
                <w:b/>
                <w:bCs/>
                <w:color w:val="auto"/>
                <w:kern w:val="0"/>
                <w:sz w:val="24"/>
                <w:szCs w:val="24"/>
                <w:highlight w:val="none"/>
              </w:rPr>
            </w:pPr>
          </w:p>
          <w:p>
            <w:pPr>
              <w:widowControl/>
              <w:jc w:val="center"/>
              <w:textAlignment w:val="center"/>
              <w:rPr>
                <w:rFonts w:ascii="仿宋_GB2312" w:hAnsi="仿宋_GB2312" w:eastAsia="仿宋_GB2312" w:cs="仿宋_GB2312"/>
                <w:b/>
                <w:bCs/>
                <w:color w:val="auto"/>
                <w:kern w:val="0"/>
                <w:sz w:val="24"/>
                <w:szCs w:val="24"/>
                <w:highlight w:val="none"/>
              </w:rPr>
            </w:pPr>
          </w:p>
          <w:p>
            <w:pPr>
              <w:widowControl/>
              <w:jc w:val="center"/>
              <w:textAlignment w:val="center"/>
              <w:rPr>
                <w:rFonts w:ascii="仿宋_GB2312" w:hAnsi="仿宋_GB2312" w:eastAsia="仿宋_GB2312" w:cs="仿宋_GB2312"/>
                <w:b/>
                <w:bCs/>
                <w:color w:val="auto"/>
                <w:kern w:val="0"/>
                <w:sz w:val="24"/>
                <w:szCs w:val="24"/>
                <w:highlight w:val="none"/>
              </w:rPr>
            </w:pPr>
          </w:p>
          <w:p>
            <w:pPr>
              <w:widowControl/>
              <w:jc w:val="center"/>
              <w:textAlignment w:val="center"/>
              <w:rPr>
                <w:rFonts w:ascii="仿宋_GB2312" w:hAnsi="仿宋_GB2312" w:eastAsia="仿宋_GB2312" w:cs="仿宋_GB2312"/>
                <w:b/>
                <w:bCs/>
                <w:color w:val="auto"/>
                <w:kern w:val="0"/>
                <w:sz w:val="24"/>
                <w:szCs w:val="24"/>
                <w:highlight w:val="none"/>
              </w:rPr>
            </w:pPr>
          </w:p>
          <w:p>
            <w:pPr>
              <w:widowControl/>
              <w:jc w:val="center"/>
              <w:textAlignment w:val="center"/>
              <w:rPr>
                <w:rFonts w:ascii="仿宋_GB2312" w:hAnsi="仿宋_GB2312" w:eastAsia="仿宋_GB2312" w:cs="仿宋_GB2312"/>
                <w:b/>
                <w:bCs/>
                <w:color w:val="auto"/>
                <w:kern w:val="0"/>
                <w:sz w:val="24"/>
                <w:szCs w:val="24"/>
                <w:highlight w:val="none"/>
              </w:rPr>
            </w:pPr>
          </w:p>
          <w:p>
            <w:pPr>
              <w:widowControl/>
              <w:jc w:val="center"/>
              <w:textAlignment w:val="center"/>
              <w:rPr>
                <w:rFonts w:ascii="仿宋_GB2312" w:hAnsi="仿宋_GB2312" w:eastAsia="仿宋_GB2312" w:cs="仿宋_GB2312"/>
                <w:b/>
                <w:bCs/>
                <w:color w:val="auto"/>
                <w:kern w:val="0"/>
                <w:sz w:val="24"/>
                <w:szCs w:val="24"/>
                <w:highlight w:val="none"/>
              </w:rPr>
            </w:pPr>
          </w:p>
          <w:p>
            <w:pPr>
              <w:widowControl/>
              <w:jc w:val="center"/>
              <w:textAlignment w:val="center"/>
              <w:rPr>
                <w:rFonts w:ascii="仿宋_GB2312" w:hAnsi="仿宋_GB2312" w:eastAsia="仿宋_GB2312" w:cs="仿宋_GB2312"/>
                <w:b/>
                <w:bCs/>
                <w:color w:val="auto"/>
                <w:kern w:val="0"/>
                <w:sz w:val="24"/>
                <w:szCs w:val="24"/>
                <w:highlight w:val="none"/>
              </w:rPr>
            </w:pPr>
          </w:p>
          <w:p>
            <w:pPr>
              <w:widowControl/>
              <w:jc w:val="center"/>
              <w:textAlignment w:val="center"/>
              <w:rPr>
                <w:rFonts w:ascii="仿宋_GB2312" w:hAnsi="仿宋_GB2312" w:eastAsia="仿宋_GB2312" w:cs="仿宋_GB2312"/>
                <w:b/>
                <w:bCs/>
                <w:color w:val="auto"/>
                <w:kern w:val="0"/>
                <w:sz w:val="24"/>
                <w:szCs w:val="24"/>
                <w:highlight w:val="none"/>
              </w:rPr>
            </w:pPr>
          </w:p>
          <w:p>
            <w:pPr>
              <w:widowControl/>
              <w:jc w:val="center"/>
              <w:textAlignment w:val="center"/>
              <w:rPr>
                <w:rFonts w:ascii="仿宋_GB2312" w:hAnsi="仿宋_GB2312" w:eastAsia="仿宋_GB2312" w:cs="仿宋_GB2312"/>
                <w:b/>
                <w:bCs/>
                <w:color w:val="auto"/>
                <w:kern w:val="0"/>
                <w:sz w:val="24"/>
                <w:szCs w:val="24"/>
                <w:highlight w:val="none"/>
              </w:rPr>
            </w:pPr>
          </w:p>
          <w:p>
            <w:pPr>
              <w:widowControl/>
              <w:jc w:val="center"/>
              <w:textAlignment w:val="center"/>
              <w:rPr>
                <w:rFonts w:ascii="仿宋_GB2312" w:hAnsi="仿宋_GB2312" w:eastAsia="仿宋_GB2312" w:cs="仿宋_GB2312"/>
                <w:b/>
                <w:bCs/>
                <w:color w:val="auto"/>
                <w:kern w:val="0"/>
                <w:sz w:val="24"/>
                <w:szCs w:val="24"/>
                <w:highlight w:val="none"/>
              </w:rPr>
            </w:pPr>
          </w:p>
          <w:p>
            <w:pPr>
              <w:widowControl/>
              <w:jc w:val="center"/>
              <w:textAlignment w:val="center"/>
              <w:rPr>
                <w:rFonts w:ascii="仿宋_GB2312" w:hAnsi="仿宋_GB2312" w:eastAsia="仿宋_GB2312" w:cs="仿宋_GB2312"/>
                <w:b/>
                <w:bCs/>
                <w:color w:val="auto"/>
                <w:kern w:val="0"/>
                <w:sz w:val="24"/>
                <w:szCs w:val="24"/>
                <w:highlight w:val="none"/>
              </w:rPr>
            </w:pPr>
          </w:p>
          <w:p>
            <w:pPr>
              <w:widowControl/>
              <w:jc w:val="center"/>
              <w:textAlignment w:val="center"/>
              <w:rPr>
                <w:rFonts w:ascii="仿宋_GB2312" w:hAnsi="仿宋_GB2312" w:eastAsia="仿宋_GB2312" w:cs="仿宋_GB2312"/>
                <w:b/>
                <w:bCs/>
                <w:color w:val="auto"/>
                <w:kern w:val="0"/>
                <w:sz w:val="24"/>
                <w:szCs w:val="24"/>
                <w:highlight w:val="none"/>
              </w:rPr>
            </w:pPr>
          </w:p>
          <w:p>
            <w:pPr>
              <w:widowControl/>
              <w:jc w:val="center"/>
              <w:textAlignment w:val="center"/>
              <w:rPr>
                <w:rFonts w:ascii="仿宋_GB2312" w:hAnsi="仿宋_GB2312" w:eastAsia="仿宋_GB2312" w:cs="仿宋_GB2312"/>
                <w:b/>
                <w:bCs/>
                <w:color w:val="auto"/>
                <w:kern w:val="0"/>
                <w:sz w:val="24"/>
                <w:szCs w:val="24"/>
                <w:highlight w:val="none"/>
              </w:rPr>
            </w:pPr>
          </w:p>
          <w:p>
            <w:pPr>
              <w:widowControl/>
              <w:jc w:val="center"/>
              <w:textAlignment w:val="center"/>
              <w:rPr>
                <w:rFonts w:ascii="仿宋_GB2312" w:hAnsi="仿宋_GB2312" w:eastAsia="仿宋_GB2312" w:cs="仿宋_GB2312"/>
                <w:b/>
                <w:bCs/>
                <w:color w:val="auto"/>
                <w:kern w:val="0"/>
                <w:sz w:val="24"/>
                <w:szCs w:val="24"/>
                <w:highlight w:val="none"/>
              </w:rPr>
            </w:pPr>
          </w:p>
          <w:p>
            <w:pPr>
              <w:widowControl/>
              <w:textAlignment w:val="center"/>
              <w:rPr>
                <w:rFonts w:ascii="仿宋_GB2312" w:hAnsi="仿宋_GB2312" w:eastAsia="仿宋_GB2312" w:cs="仿宋_GB2312"/>
                <w:b/>
                <w:bCs/>
                <w:color w:val="auto"/>
                <w:kern w:val="0"/>
                <w:sz w:val="24"/>
                <w:szCs w:val="24"/>
                <w:highlight w:val="none"/>
              </w:rPr>
            </w:pPr>
          </w:p>
          <w:p>
            <w:pPr>
              <w:widowControl/>
              <w:textAlignment w:val="center"/>
              <w:rPr>
                <w:rFonts w:ascii="仿宋_GB2312" w:hAnsi="仿宋_GB2312" w:eastAsia="仿宋_GB2312" w:cs="仿宋_GB2312"/>
                <w:b/>
                <w:bCs/>
                <w:color w:val="auto"/>
                <w:kern w:val="0"/>
                <w:sz w:val="24"/>
                <w:szCs w:val="24"/>
                <w:highlight w:val="none"/>
              </w:rPr>
            </w:pPr>
          </w:p>
          <w:p>
            <w:pPr>
              <w:widowControl/>
              <w:textAlignment w:val="center"/>
              <w:rPr>
                <w:rFonts w:ascii="仿宋_GB2312" w:hAnsi="仿宋_GB2312" w:eastAsia="仿宋_GB2312" w:cs="仿宋_GB2312"/>
                <w:b/>
                <w:bCs/>
                <w:color w:val="auto"/>
                <w:kern w:val="0"/>
                <w:sz w:val="24"/>
                <w:szCs w:val="24"/>
                <w:highlight w:val="none"/>
              </w:rPr>
            </w:pPr>
          </w:p>
          <w:p>
            <w:pPr>
              <w:widowControl/>
              <w:jc w:val="center"/>
              <w:textAlignment w:val="center"/>
              <w:rPr>
                <w:rFonts w:ascii="仿宋_GB2312" w:hAnsi="仿宋_GB2312" w:eastAsia="仿宋_GB2312" w:cs="仿宋_GB2312"/>
                <w:b/>
                <w:bCs/>
                <w:color w:val="auto"/>
                <w:kern w:val="0"/>
                <w:sz w:val="24"/>
                <w:szCs w:val="24"/>
                <w:highlight w:val="none"/>
              </w:rPr>
            </w:pPr>
          </w:p>
          <w:p>
            <w:pPr>
              <w:widowControl/>
              <w:jc w:val="center"/>
              <w:textAlignment w:val="center"/>
              <w:rPr>
                <w:rFonts w:ascii="仿宋_GB2312" w:hAnsi="仿宋_GB2312" w:eastAsia="仿宋_GB2312" w:cs="仿宋_GB2312"/>
                <w:b/>
                <w:bCs/>
                <w:color w:val="auto"/>
                <w:kern w:val="0"/>
                <w:sz w:val="24"/>
                <w:szCs w:val="24"/>
                <w:highlight w:val="none"/>
              </w:rPr>
            </w:pPr>
          </w:p>
          <w:p>
            <w:pPr>
              <w:widowControl/>
              <w:jc w:val="center"/>
              <w:textAlignment w:val="center"/>
              <w:rPr>
                <w:rFonts w:ascii="仿宋_GB2312" w:hAnsi="仿宋_GB2312" w:eastAsia="仿宋_GB2312" w:cs="仿宋_GB2312"/>
                <w:b/>
                <w:bCs/>
                <w:color w:val="auto"/>
                <w:kern w:val="0"/>
                <w:sz w:val="24"/>
                <w:szCs w:val="24"/>
                <w:highlight w:val="none"/>
              </w:rPr>
            </w:pPr>
          </w:p>
          <w:p>
            <w:pPr>
              <w:jc w:val="left"/>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打包搬迁、按引导员指定的位置摆放整齐，挂图需要拆除并上墙。</w:t>
            </w:r>
          </w:p>
          <w:p>
            <w:pPr>
              <w:jc w:val="left"/>
              <w:rPr>
                <w:rFonts w:ascii="仿宋_GB2312" w:eastAsia="仿宋_GB2312"/>
                <w:color w:val="auto"/>
                <w:kern w:val="0"/>
                <w:sz w:val="24"/>
                <w:szCs w:val="24"/>
                <w:highlight w:val="none"/>
              </w:rPr>
            </w:pPr>
          </w:p>
          <w:p>
            <w:pPr>
              <w:jc w:val="left"/>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特殊技术要求设备搬迁要求见后标特殊要求。</w:t>
            </w:r>
          </w:p>
          <w:p>
            <w:pPr>
              <w:widowControl/>
              <w:jc w:val="center"/>
              <w:textAlignment w:val="center"/>
              <w:rPr>
                <w:rFonts w:ascii="仿宋_GB2312" w:hAnsi="仿宋_GB2312" w:eastAsia="仿宋_GB2312" w:cs="仿宋_GB2312"/>
                <w:b/>
                <w:bCs/>
                <w:color w:val="auto"/>
                <w:kern w:val="0"/>
                <w:sz w:val="24"/>
                <w:szCs w:val="24"/>
                <w:highlight w:val="none"/>
              </w:rPr>
            </w:pPr>
          </w:p>
          <w:p>
            <w:pPr>
              <w:widowControl/>
              <w:jc w:val="center"/>
              <w:textAlignment w:val="center"/>
              <w:rPr>
                <w:rFonts w:ascii="仿宋_GB2312" w:hAnsi="仿宋_GB2312" w:eastAsia="仿宋_GB2312" w:cs="仿宋_GB2312"/>
                <w:b/>
                <w:bCs/>
                <w:color w:val="auto"/>
                <w:kern w:val="0"/>
                <w:sz w:val="24"/>
                <w:szCs w:val="24"/>
                <w:highlight w:val="none"/>
              </w:rPr>
            </w:pPr>
          </w:p>
          <w:p>
            <w:pPr>
              <w:widowControl/>
              <w:jc w:val="center"/>
              <w:textAlignment w:val="cente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2</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救生服（保温浸水服）</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10套</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3</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气胀式救生筏及</w:t>
            </w:r>
            <w:r>
              <w:rPr>
                <w:rFonts w:hint="eastAsia" w:ascii="仿宋_GB2312" w:hAnsi="仿宋_GB2312" w:eastAsia="仿宋_GB2312" w:cs="仿宋_GB2312"/>
                <w:color w:val="auto"/>
                <w:sz w:val="24"/>
                <w:szCs w:val="24"/>
                <w:highlight w:val="none"/>
              </w:rPr>
              <w:t>静水压力释放器</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4具</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4</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直升机救助吊升挂图，船舶结构挂图（100*150）</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3张</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5</w:t>
            </w:r>
          </w:p>
        </w:tc>
        <w:tc>
          <w:tcPr>
            <w:tcW w:w="3764" w:type="dxa"/>
            <w:tcBorders>
              <w:top w:val="single" w:color="000000" w:sz="2" w:space="0"/>
              <w:left w:val="single" w:color="000000" w:sz="2" w:space="0"/>
              <w:bottom w:val="single" w:color="000000" w:sz="2" w:space="0"/>
              <w:right w:val="single" w:color="000000" w:sz="2" w:space="0"/>
            </w:tcBorders>
            <w:shd w:val="clear" w:color="auto" w:fill="auto"/>
          </w:tcPr>
          <w:p>
            <w:pPr>
              <w:widowControl/>
              <w:textAlignment w:val="top"/>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搜救雷达应答器和卫星应急无线电示位标设备</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各1台</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6</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手提式灭火器</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30个</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7</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应急消防泵</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2台</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8</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水龙带</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17卷</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9</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水枪</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6个</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10</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国际通岸接头</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2个</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11</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紧急逃生呼吸装置</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4套</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12</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水手操作工具（缝帆工具、铁笔、细油麻绳、扳手、螺丝刀等）</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1套</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消防员装备</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10套</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14</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人体骨骼模型</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1具</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15</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心肺复苏模拟人</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7个</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16</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急救箱</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2</w:t>
            </w:r>
            <w:r>
              <w:rPr>
                <w:rStyle w:val="57"/>
                <w:rFonts w:hint="eastAsia" w:hAnsi="仿宋_GB2312"/>
                <w:color w:val="auto"/>
                <w:sz w:val="24"/>
                <w:szCs w:val="24"/>
                <w:highlight w:val="none"/>
              </w:rPr>
              <w:t>个</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17</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担架</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1具</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18</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绷带、三角巾、止血带、夹板（适用上、下肢）</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20个（副）</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19</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听诊器、血压计、体温计</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各10个</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20</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高空作业安全绳</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8套</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21</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测氧仪、测毒仪</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3套</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22</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防污染设备</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1套</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2"/>
                <w:sz w:val="24"/>
                <w:szCs w:val="24"/>
                <w:highlight w:val="none"/>
              </w:rPr>
              <w:t>23</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垃圾回收装置</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3个</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24</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登乘梯</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1具</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25</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救生索</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3根</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26</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救生艇筏上的无线电救生设备</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1套</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27</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抗眩晕设备</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4套</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28</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钢质火盆</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2只</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29</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钢制止链器</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2个</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30</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烟雾发生装置</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2台</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31</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工作服、工作鞋、手套、安全帽</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40套</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32</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小型空气压缩机</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1个</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33</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手电筒</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10个</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34</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 xml:space="preserve">水手敲绣工具                                        </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1套</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35</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简易呼吸器</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1个</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36</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防弹衣、钢盔</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6</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37</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防弹盾牌</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2个</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38</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刀片滚笼</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1组</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39</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手持式金属探测器</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2套</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40</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铁链围栏</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拆除、搬迁、固定安装</w:t>
            </w: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41</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消防战斗服</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40套</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42</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钢丝油</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6桶</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43</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润滑油</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4桶</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44</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艇叉</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17</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45</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木浆</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4只</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46</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绳结架子</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20个</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47</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集装箱绑扎杆</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48</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铁滑车</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49</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各类木滑车</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50</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撇缆头</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100个</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51</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新撇缆绳</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1卷</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52</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在用撇缆绳</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11根</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53</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救生艇属具（救生口粮、橙色烟雾信号、红色火焰信号、救生绳、信号灯）</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1套</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54</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剪刀</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55</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船用缆绳</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56</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消防员腰带</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27</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57</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消防靴子</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30双</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58</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吊艇钢丝</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90</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59</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钢丝卷</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60</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油漆</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61</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油漆刷</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60</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62</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卸扣</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29</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63</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钢丝刷</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31</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64</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木槌</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41</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65</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眼版</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66</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扭锁</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67</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防毒面具</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68</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游标卡尺</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69</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可拆卸货架</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11</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拆除、搬迁、固定安装</w:t>
            </w: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70</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不锈钢货架（5m*0.9m*3m）</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20</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拆除、搬迁、固定安装</w:t>
            </w: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71</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缆桩</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拆除、搬迁、按指定位置固定安装</w:t>
            </w: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72</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导向装置</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拆除、搬迁、按指定位置固定安装</w:t>
            </w: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283"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73</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钢丝钳</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283"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74</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单人座板</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20</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283"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75</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双人座板</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283"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76</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消防员隔热服</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283"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77</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抗暴露服</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40</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283"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78</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挂机空调（加外机）</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2台</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仿宋_GB2312" w:hAnsi="仿宋_GB2312" w:eastAsia="仿宋_GB2312" w:cs="仿宋_GB2312"/>
                <w:color w:val="auto"/>
                <w:kern w:val="0"/>
                <w:sz w:val="24"/>
                <w:szCs w:val="24"/>
                <w:highlight w:val="none"/>
              </w:rPr>
            </w:pPr>
            <w:r>
              <w:rPr>
                <w:rStyle w:val="58"/>
                <w:rFonts w:hint="default" w:ascii="仿宋_GB2312" w:hAnsi="仿宋_GB2312" w:eastAsia="仿宋_GB2312" w:cs="仿宋_GB2312"/>
                <w:color w:val="auto"/>
                <w:sz w:val="24"/>
                <w:szCs w:val="24"/>
                <w:highlight w:val="none"/>
              </w:rPr>
              <w:t>制冷、制热正常</w:t>
            </w: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283"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79</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候考室凳子</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80张</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283" w:hRule="exac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80</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插钢丝长板凳</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20张</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81</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火灾自动报警系统</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1套</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线路及系统安装正常；</w:t>
            </w:r>
            <w:r>
              <w:rPr>
                <w:rFonts w:hint="eastAsia" w:ascii="仿宋_GB2312" w:hAnsi="仿宋_GB2312" w:eastAsia="仿宋_GB2312" w:cs="仿宋_GB2312"/>
                <w:color w:val="auto"/>
                <w:sz w:val="24"/>
                <w:szCs w:val="24"/>
                <w:highlight w:val="none"/>
              </w:rPr>
              <w:t>质保一年。</w:t>
            </w: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82</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平衡训练设备</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1套</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拆除、搬迁、除锈、油漆和安装（新制梯形支架）</w:t>
            </w: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83</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抗眩晕设备</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4套</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拆除、搬迁、除锈、油漆和固定安装（下面带有沙池）</w:t>
            </w: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84</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攀爬设备</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1套</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拆除、搬迁、固定安装（包括沙池）</w:t>
            </w:r>
          </w:p>
        </w:tc>
        <w:tc>
          <w:tcPr>
            <w:tcW w:w="1290" w:type="dxa"/>
            <w:vMerge w:val="continue"/>
            <w:tcBorders>
              <w:left w:val="single" w:color="000000" w:sz="2" w:space="0"/>
              <w:right w:val="single" w:color="000000" w:sz="2" w:space="0"/>
            </w:tcBorders>
            <w:shd w:val="clear" w:color="auto" w:fill="auto"/>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85</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五艘救生艇（北区两艘开敞式救生艇一艘封闭式救生艇，滨湖湿地公园划艇基地两艘开敞式救生艇）</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5艘</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打包搬迁至新校区划艇河道内（需重新除锈和油漆）</w:t>
            </w:r>
          </w:p>
        </w:tc>
        <w:tc>
          <w:tcPr>
            <w:tcW w:w="1290" w:type="dxa"/>
            <w:vMerge w:val="continue"/>
            <w:tcBorders>
              <w:left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86</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锚机、</w:t>
            </w:r>
            <w:r>
              <w:rPr>
                <w:rFonts w:hint="eastAsia" w:ascii="仿宋_GB2312" w:hAnsi="仿宋_GB2312" w:eastAsia="仿宋_GB2312" w:cs="仿宋_GB2312"/>
                <w:color w:val="auto"/>
                <w:sz w:val="24"/>
                <w:szCs w:val="24"/>
                <w:highlight w:val="none"/>
              </w:rPr>
              <w:t>霍尔锚、诺斯克锚</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1套</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拆除、搬迁、一楼水手实训室存放，运转正常(离地面约1米高的底座钢质支架）</w:t>
            </w:r>
            <w:r>
              <w:rPr>
                <w:rFonts w:hint="eastAsia" w:ascii="仿宋_GB2312" w:hAnsi="仿宋_GB2312" w:eastAsia="仿宋_GB2312" w:cs="仿宋_GB2312"/>
                <w:color w:val="auto"/>
                <w:sz w:val="24"/>
                <w:szCs w:val="24"/>
                <w:highlight w:val="none"/>
              </w:rPr>
              <w:t>质保一年。</w:t>
            </w:r>
          </w:p>
        </w:tc>
        <w:tc>
          <w:tcPr>
            <w:tcW w:w="1290" w:type="dxa"/>
            <w:vMerge w:val="continue"/>
            <w:tcBorders>
              <w:left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87</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船舶二氧化碳灭火系统</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1套</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打包搬迁，因新校区模拟船未建好，故该系统管路及其他附属设备临时安放在指定位置固定。</w:t>
            </w:r>
            <w:r>
              <w:rPr>
                <w:rFonts w:hint="eastAsia" w:ascii="仿宋_GB2312" w:hAnsi="仿宋_GB2312" w:eastAsia="仿宋_GB2312" w:cs="仿宋_GB2312"/>
                <w:color w:val="auto"/>
                <w:sz w:val="24"/>
                <w:szCs w:val="24"/>
                <w:highlight w:val="none"/>
              </w:rPr>
              <w:t>质保一年。</w:t>
            </w:r>
            <w:r>
              <w:rPr>
                <w:rFonts w:hint="eastAsia" w:ascii="仿宋_GB2312" w:hAnsi="仿宋_GB2312" w:eastAsia="仿宋_GB2312" w:cs="仿宋_GB2312"/>
                <w:color w:val="auto"/>
                <w:kern w:val="0"/>
                <w:sz w:val="24"/>
                <w:szCs w:val="24"/>
                <w:highlight w:val="none"/>
              </w:rPr>
              <w:t>见附图12</w:t>
            </w:r>
          </w:p>
        </w:tc>
        <w:tc>
          <w:tcPr>
            <w:tcW w:w="1290" w:type="dxa"/>
            <w:vMerge w:val="continue"/>
            <w:tcBorders>
              <w:left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宋体" w:hAnsi="宋体" w:eastAsia="宋体" w:cs="宋体"/>
                <w:color w:val="auto"/>
                <w:sz w:val="21"/>
                <w:szCs w:val="21"/>
                <w:highlight w:val="none"/>
                <w:lang w:eastAsia="zh-CN"/>
              </w:rPr>
              <w:t>■</w:t>
            </w:r>
            <w:r>
              <w:rPr>
                <w:rFonts w:hint="eastAsia" w:ascii="仿宋_GB2312" w:hAnsi="仿宋_GB2312" w:eastAsia="仿宋_GB2312" w:cs="仿宋_GB2312"/>
                <w:color w:val="auto"/>
                <w:kern w:val="0"/>
                <w:sz w:val="24"/>
                <w:szCs w:val="24"/>
                <w:highlight w:val="none"/>
              </w:rPr>
              <w:t>88</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sz w:val="24"/>
                <w:szCs w:val="24"/>
                <w:highlight w:val="none"/>
              </w:rPr>
            </w:pPr>
            <w:r>
              <w:rPr>
                <w:rFonts w:hint="eastAsia" w:ascii="宋体" w:hAnsi="宋体" w:cs="宋体"/>
                <w:color w:val="auto"/>
                <w:kern w:val="0"/>
                <w:szCs w:val="21"/>
                <w:highlight w:val="none"/>
                <w:lang w:bidi="ar"/>
              </w:rPr>
              <w:t>●</w:t>
            </w:r>
            <w:r>
              <w:rPr>
                <w:rFonts w:hint="eastAsia" w:ascii="仿宋_GB2312" w:hAnsi="仿宋_GB2312" w:eastAsia="仿宋_GB2312" w:cs="仿宋_GB2312"/>
                <w:color w:val="auto"/>
                <w:kern w:val="0"/>
                <w:sz w:val="24"/>
                <w:szCs w:val="24"/>
                <w:highlight w:val="none"/>
              </w:rPr>
              <w:t>船舶高倍泡沫灭火系统</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1套</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Style w:val="55"/>
                <w:rFonts w:hAnsi="仿宋_GB2312"/>
                <w:color w:val="auto"/>
                <w:sz w:val="24"/>
                <w:szCs w:val="24"/>
                <w:highlight w:val="none"/>
              </w:rPr>
            </w:pPr>
            <w:r>
              <w:rPr>
                <w:rFonts w:hint="eastAsia" w:ascii="仿宋_GB2312" w:hAnsi="仿宋_GB2312" w:eastAsia="仿宋_GB2312" w:cs="仿宋_GB2312"/>
                <w:color w:val="auto"/>
                <w:sz w:val="24"/>
                <w:szCs w:val="24"/>
                <w:highlight w:val="none"/>
              </w:rPr>
              <w:t>响应文件需提供图纸（或效果图）和安装方案，</w:t>
            </w:r>
            <w:r>
              <w:rPr>
                <w:rFonts w:hint="eastAsia" w:ascii="仿宋_GB2312" w:hAnsi="仿宋_GB2312" w:eastAsia="仿宋_GB2312" w:cs="仿宋_GB2312"/>
                <w:color w:val="auto"/>
                <w:kern w:val="0"/>
                <w:sz w:val="24"/>
                <w:szCs w:val="24"/>
                <w:highlight w:val="none"/>
              </w:rPr>
              <w:t>包括管路及其他附属设备安装完整，内部溶液更换，配套水池。</w:t>
            </w:r>
            <w:r>
              <w:rPr>
                <w:rFonts w:hint="eastAsia" w:ascii="仿宋_GB2312" w:hAnsi="仿宋_GB2312" w:eastAsia="仿宋_GB2312" w:cs="仿宋_GB2312"/>
                <w:color w:val="auto"/>
                <w:sz w:val="24"/>
                <w:szCs w:val="24"/>
                <w:highlight w:val="none"/>
              </w:rPr>
              <w:t>质保一年。</w:t>
            </w:r>
            <w:r>
              <w:rPr>
                <w:rFonts w:hint="eastAsia" w:ascii="仿宋_GB2312" w:hAnsi="仿宋_GB2312" w:eastAsia="仿宋_GB2312" w:cs="仿宋_GB2312"/>
                <w:color w:val="auto"/>
                <w:kern w:val="0"/>
                <w:sz w:val="24"/>
                <w:szCs w:val="24"/>
                <w:highlight w:val="none"/>
              </w:rPr>
              <w:t>见附图13</w:t>
            </w:r>
          </w:p>
        </w:tc>
        <w:tc>
          <w:tcPr>
            <w:tcW w:w="1290" w:type="dxa"/>
            <w:vMerge w:val="continue"/>
            <w:tcBorders>
              <w:left w:val="single" w:color="000000" w:sz="2" w:space="0"/>
              <w:right w:val="single" w:color="000000" w:sz="2" w:space="0"/>
            </w:tcBorders>
            <w:shd w:val="clear" w:color="auto" w:fill="auto"/>
            <w:vAlign w:val="center"/>
          </w:tcPr>
          <w:p>
            <w:pPr>
              <w:widowControl/>
              <w:jc w:val="center"/>
              <w:textAlignment w:val="center"/>
              <w:rPr>
                <w:rStyle w:val="55"/>
                <w:rFonts w:hAnsi="仿宋_GB2312"/>
                <w:color w:val="auto"/>
                <w:sz w:val="24"/>
                <w:szCs w:val="24"/>
                <w:highlight w:val="none"/>
              </w:rPr>
            </w:pPr>
          </w:p>
        </w:tc>
      </w:tr>
      <w:tr>
        <w:tblPrEx>
          <w:tblCellMar>
            <w:top w:w="0" w:type="dxa"/>
            <w:left w:w="108" w:type="dxa"/>
            <w:bottom w:w="0" w:type="dxa"/>
            <w:right w:w="108" w:type="dxa"/>
          </w:tblCellMar>
        </w:tblPrEx>
        <w:trPr>
          <w:trHeight w:val="340"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89</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宋体" w:hAnsi="宋体" w:cs="宋体"/>
                <w:color w:val="auto"/>
                <w:kern w:val="0"/>
                <w:szCs w:val="21"/>
                <w:highlight w:val="none"/>
                <w:lang w:bidi="ar"/>
              </w:rPr>
              <w:t>●</w:t>
            </w:r>
            <w:r>
              <w:rPr>
                <w:rFonts w:hint="eastAsia" w:ascii="仿宋_GB2312" w:hAnsi="仿宋_GB2312" w:eastAsia="仿宋_GB2312" w:cs="仿宋_GB2312"/>
                <w:color w:val="auto"/>
                <w:kern w:val="0"/>
                <w:sz w:val="24"/>
                <w:szCs w:val="24"/>
                <w:highlight w:val="none"/>
              </w:rPr>
              <w:t>缆机</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Style w:val="55"/>
                <w:rFonts w:hAnsi="仿宋_GB2312"/>
                <w:color w:val="auto"/>
                <w:sz w:val="24"/>
                <w:szCs w:val="24"/>
                <w:highlight w:val="none"/>
              </w:rPr>
            </w:pPr>
            <w:r>
              <w:rPr>
                <w:rFonts w:hint="eastAsia" w:ascii="仿宋_GB2312" w:hAnsi="仿宋_GB2312" w:eastAsia="仿宋_GB2312" w:cs="仿宋_GB2312"/>
                <w:color w:val="auto"/>
                <w:kern w:val="0"/>
                <w:sz w:val="24"/>
                <w:szCs w:val="24"/>
                <w:highlight w:val="none"/>
              </w:rPr>
              <w:t>1套</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拆除、搬迁、河边指定位置固定安装</w:t>
            </w:r>
          </w:p>
          <w:p>
            <w:pPr>
              <w:pStyle w:val="2"/>
              <w:rPr>
                <w:rStyle w:val="55"/>
                <w:rFonts w:hAnsi="仿宋_GB2312"/>
                <w:color w:val="auto"/>
                <w:sz w:val="24"/>
                <w:szCs w:val="24"/>
                <w:highlight w:val="none"/>
              </w:rPr>
            </w:pPr>
            <w:r>
              <w:rPr>
                <w:rFonts w:hint="eastAsia" w:ascii="仿宋_GB2312" w:hAnsi="仿宋_GB2312" w:eastAsia="仿宋_GB2312" w:cs="仿宋_GB2312"/>
                <w:color w:val="auto"/>
                <w:kern w:val="0"/>
                <w:highlight w:val="none"/>
              </w:rPr>
              <w:t>(离地面约0.5米高的底座钢质支架），运转正常，</w:t>
            </w:r>
            <w:r>
              <w:rPr>
                <w:rFonts w:hint="eastAsia" w:ascii="仿宋_GB2312" w:hAnsi="仿宋_GB2312" w:eastAsia="仿宋_GB2312" w:cs="仿宋_GB2312"/>
                <w:color w:val="auto"/>
                <w:highlight w:val="none"/>
              </w:rPr>
              <w:t>响应文件需提供图纸（或效果图）和安装方案。</w:t>
            </w:r>
            <w:r>
              <w:rPr>
                <w:rFonts w:hint="eastAsia" w:ascii="仿宋_GB2312" w:hAnsi="仿宋_GB2312" w:eastAsia="仿宋_GB2312" w:cs="仿宋_GB2312"/>
                <w:color w:val="auto"/>
                <w:kern w:val="0"/>
                <w:highlight w:val="none"/>
              </w:rPr>
              <w:t>（</w:t>
            </w:r>
            <w:r>
              <w:rPr>
                <w:rFonts w:hint="eastAsia" w:ascii="仿宋_GB2312" w:hAnsi="仿宋_GB2312" w:eastAsia="仿宋_GB2312" w:cs="仿宋_GB2312"/>
                <w:color w:val="auto"/>
                <w:highlight w:val="none"/>
              </w:rPr>
              <w:t>见附图14）质保一年。</w:t>
            </w:r>
          </w:p>
        </w:tc>
        <w:tc>
          <w:tcPr>
            <w:tcW w:w="1290" w:type="dxa"/>
            <w:vMerge w:val="continue"/>
            <w:tcBorders>
              <w:left w:val="single" w:color="000000" w:sz="2" w:space="0"/>
              <w:right w:val="single" w:color="000000" w:sz="2" w:space="0"/>
            </w:tcBorders>
            <w:shd w:val="clear" w:color="auto" w:fill="auto"/>
            <w:vAlign w:val="center"/>
          </w:tcPr>
          <w:p>
            <w:pPr>
              <w:widowControl/>
              <w:jc w:val="center"/>
              <w:textAlignment w:val="center"/>
              <w:rPr>
                <w:rStyle w:val="55"/>
                <w:rFonts w:hAnsi="仿宋_GB2312"/>
                <w:color w:val="auto"/>
                <w:sz w:val="24"/>
                <w:szCs w:val="24"/>
                <w:highlight w:val="none"/>
              </w:rPr>
            </w:pPr>
          </w:p>
        </w:tc>
      </w:tr>
      <w:tr>
        <w:tblPrEx>
          <w:tblCellMar>
            <w:top w:w="0" w:type="dxa"/>
            <w:left w:w="108" w:type="dxa"/>
            <w:bottom w:w="0" w:type="dxa"/>
            <w:right w:w="108" w:type="dxa"/>
          </w:tblCellMar>
        </w:tblPrEx>
        <w:trPr>
          <w:trHeight w:val="340"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90</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宋体" w:hAnsi="宋体" w:cs="宋体"/>
                <w:color w:val="auto"/>
                <w:kern w:val="0"/>
                <w:szCs w:val="21"/>
                <w:highlight w:val="none"/>
                <w:lang w:bidi="ar"/>
              </w:rPr>
              <w:t>●</w:t>
            </w:r>
            <w:r>
              <w:rPr>
                <w:rFonts w:hint="eastAsia" w:ascii="仿宋_GB2312" w:hAnsi="仿宋_GB2312" w:eastAsia="仿宋_GB2312" w:cs="仿宋_GB2312"/>
                <w:color w:val="auto"/>
                <w:kern w:val="0"/>
                <w:sz w:val="24"/>
                <w:szCs w:val="24"/>
                <w:highlight w:val="none"/>
              </w:rPr>
              <w:t>大桅杆（高16米）</w:t>
            </w:r>
          </w:p>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需建基座长1.5米，基座宽1.5米，基座施工前需开挖预埋1.0cm 厚船用加强钢板，用水泥钢筋混凝土封装</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Style w:val="55"/>
                <w:rFonts w:hAnsi="仿宋_GB2312"/>
                <w:color w:val="auto"/>
                <w:sz w:val="24"/>
                <w:szCs w:val="24"/>
                <w:highlight w:val="none"/>
              </w:rPr>
            </w:pPr>
            <w:r>
              <w:rPr>
                <w:rFonts w:hint="eastAsia" w:ascii="仿宋_GB2312" w:hAnsi="仿宋_GB2312" w:eastAsia="仿宋_GB2312" w:cs="仿宋_GB2312"/>
                <w:color w:val="auto"/>
                <w:kern w:val="0"/>
                <w:sz w:val="24"/>
                <w:szCs w:val="24"/>
                <w:highlight w:val="none"/>
              </w:rPr>
              <w:t>拆除、搬迁、除锈油漆（两度底漆两度奶黄色面漆），</w:t>
            </w:r>
            <w:r>
              <w:rPr>
                <w:rFonts w:hint="eastAsia" w:ascii="仿宋_GB2312" w:hAnsi="仿宋_GB2312" w:eastAsia="仿宋_GB2312" w:cs="仿宋_GB2312"/>
                <w:color w:val="auto"/>
                <w:sz w:val="24"/>
                <w:szCs w:val="24"/>
                <w:highlight w:val="none"/>
              </w:rPr>
              <w:t>响应文件需提供图纸（或效果图）和安装方案</w:t>
            </w:r>
            <w:r>
              <w:rPr>
                <w:rFonts w:hint="eastAsia" w:ascii="仿宋_GB2312" w:hAnsi="仿宋_GB2312" w:eastAsia="仿宋_GB2312" w:cs="仿宋_GB2312"/>
                <w:color w:val="auto"/>
                <w:kern w:val="0"/>
                <w:sz w:val="24"/>
                <w:szCs w:val="24"/>
                <w:highlight w:val="none"/>
              </w:rPr>
              <w:t>（包括基座的预制方案，不包括基座的预制），大桅需要通电且配齐海船船舶号灯；明确安装注意事项，按指定的位置安装。见附图15</w:t>
            </w:r>
          </w:p>
        </w:tc>
        <w:tc>
          <w:tcPr>
            <w:tcW w:w="1290" w:type="dxa"/>
            <w:vMerge w:val="continue"/>
            <w:tcBorders>
              <w:left w:val="single" w:color="000000" w:sz="2" w:space="0"/>
              <w:right w:val="single" w:color="000000" w:sz="2" w:space="0"/>
            </w:tcBorders>
            <w:shd w:val="clear" w:color="auto" w:fill="auto"/>
            <w:vAlign w:val="center"/>
          </w:tcPr>
          <w:p>
            <w:pPr>
              <w:widowControl/>
              <w:jc w:val="center"/>
              <w:textAlignment w:val="center"/>
              <w:rPr>
                <w:rStyle w:val="55"/>
                <w:rFonts w:hAnsi="仿宋_GB2312"/>
                <w:color w:val="auto"/>
                <w:sz w:val="24"/>
                <w:szCs w:val="24"/>
                <w:highlight w:val="none"/>
              </w:rPr>
            </w:pPr>
          </w:p>
        </w:tc>
      </w:tr>
      <w:tr>
        <w:tblPrEx>
          <w:tblCellMar>
            <w:top w:w="0" w:type="dxa"/>
            <w:left w:w="108" w:type="dxa"/>
            <w:bottom w:w="0" w:type="dxa"/>
            <w:right w:w="108" w:type="dxa"/>
          </w:tblCellMar>
        </w:tblPrEx>
        <w:trPr>
          <w:trHeight w:val="340"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宋体" w:hAnsi="宋体" w:eastAsia="宋体" w:cs="宋体"/>
                <w:color w:val="auto"/>
                <w:sz w:val="21"/>
                <w:szCs w:val="21"/>
                <w:highlight w:val="none"/>
                <w:lang w:eastAsia="zh-CN"/>
              </w:rPr>
              <w:t>■</w:t>
            </w:r>
            <w:r>
              <w:rPr>
                <w:rFonts w:hint="eastAsia" w:ascii="仿宋_GB2312" w:hAnsi="仿宋_GB2312" w:eastAsia="仿宋_GB2312" w:cs="仿宋_GB2312"/>
                <w:color w:val="auto"/>
                <w:kern w:val="0"/>
                <w:sz w:val="24"/>
                <w:szCs w:val="24"/>
                <w:highlight w:val="none"/>
              </w:rPr>
              <w:t>91</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宋体" w:hAnsi="宋体" w:cs="宋体"/>
                <w:color w:val="auto"/>
                <w:kern w:val="0"/>
                <w:szCs w:val="21"/>
                <w:highlight w:val="none"/>
                <w:lang w:bidi="ar"/>
              </w:rPr>
              <w:t>●</w:t>
            </w:r>
            <w:r>
              <w:rPr>
                <w:rFonts w:hint="eastAsia" w:ascii="仿宋_GB2312" w:hAnsi="仿宋_GB2312" w:eastAsia="仿宋_GB2312" w:cs="仿宋_GB2312"/>
                <w:color w:val="auto"/>
                <w:kern w:val="0"/>
                <w:sz w:val="24"/>
                <w:szCs w:val="24"/>
                <w:highlight w:val="none"/>
              </w:rPr>
              <w:t>敞开式救生艇及降落设备（模拟船上）。</w:t>
            </w:r>
          </w:p>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艇长宽高为6.5*2.15*0.9m，吊钩间距：5.5m；需建基座长8.0米，宽4.0米，厚为0.4米的基座。。此救生艇完全满足国际海上人命安全公约修正案以及国际救生设备规则 。救生艇基座施工前需开挖预埋1.0cm 厚船用加强钢板，用水泥钢筋混凝土封装，救生艇架固定于基座上。登艇平台做加宽加长加固设计，所用材料为 0.8cm 角钢以及花铁板（登艇平台长 6.5 米宽 1.5 米高 2 米 ）。</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Style w:val="55"/>
                <w:rFonts w:hAnsi="仿宋_GB2312"/>
                <w:color w:val="auto"/>
                <w:sz w:val="24"/>
                <w:szCs w:val="24"/>
                <w:highlight w:val="none"/>
              </w:rPr>
            </w:pPr>
            <w:r>
              <w:rPr>
                <w:rFonts w:hint="eastAsia" w:ascii="仿宋_GB2312" w:hAnsi="仿宋_GB2312" w:eastAsia="仿宋_GB2312" w:cs="仿宋_GB2312"/>
                <w:color w:val="auto"/>
                <w:kern w:val="0"/>
                <w:sz w:val="24"/>
                <w:szCs w:val="24"/>
                <w:highlight w:val="none"/>
              </w:rPr>
              <w:t>1艘</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Style w:val="55"/>
                <w:rFonts w:hAnsi="仿宋_GB2312"/>
                <w:color w:val="auto"/>
                <w:sz w:val="24"/>
                <w:szCs w:val="24"/>
                <w:highlight w:val="none"/>
              </w:rPr>
            </w:pPr>
            <w:r>
              <w:rPr>
                <w:rFonts w:hint="eastAsia" w:ascii="仿宋_GB2312" w:hAnsi="仿宋_GB2312" w:eastAsia="仿宋_GB2312" w:cs="仿宋_GB2312"/>
                <w:color w:val="auto"/>
                <w:kern w:val="0"/>
                <w:sz w:val="24"/>
                <w:szCs w:val="24"/>
                <w:highlight w:val="none"/>
              </w:rPr>
              <w:t>具有船舶救生艇制造资质或在救生艇制造商授权下，拆除、运输、安装[包括艇架安装及所需的材料（如登乘梯等）]，艇架须除锈油漆（两度底漆两度面漆）；</w:t>
            </w:r>
            <w:r>
              <w:rPr>
                <w:rFonts w:hint="eastAsia" w:ascii="仿宋_GB2312" w:hAnsi="仿宋_GB2312" w:eastAsia="仿宋_GB2312" w:cs="仿宋_GB2312"/>
                <w:color w:val="auto"/>
                <w:sz w:val="24"/>
                <w:szCs w:val="24"/>
                <w:highlight w:val="none"/>
              </w:rPr>
              <w:t>响应文件需提供施工图纸及安装方案，</w:t>
            </w:r>
            <w:r>
              <w:rPr>
                <w:rFonts w:hint="eastAsia" w:ascii="仿宋_GB2312" w:hAnsi="仿宋_GB2312" w:eastAsia="仿宋_GB2312" w:cs="仿宋_GB2312"/>
                <w:color w:val="auto"/>
                <w:kern w:val="0"/>
                <w:sz w:val="24"/>
                <w:szCs w:val="24"/>
                <w:highlight w:val="none"/>
              </w:rPr>
              <w:t>不包括艇架基座的预制，但需要出基座的施工图纸。安装后调试，进行释放测试正常。</w:t>
            </w:r>
            <w:r>
              <w:rPr>
                <w:rFonts w:hint="eastAsia" w:ascii="仿宋_GB2312" w:hAnsi="仿宋_GB2312" w:eastAsia="仿宋_GB2312" w:cs="仿宋_GB2312"/>
                <w:color w:val="auto"/>
                <w:sz w:val="24"/>
                <w:szCs w:val="24"/>
                <w:highlight w:val="none"/>
              </w:rPr>
              <w:t>质保一年。</w:t>
            </w:r>
            <w:r>
              <w:rPr>
                <w:rFonts w:hint="eastAsia" w:ascii="仿宋_GB2312" w:hAnsi="仿宋_GB2312" w:eastAsia="仿宋_GB2312" w:cs="仿宋_GB2312"/>
                <w:color w:val="auto"/>
                <w:kern w:val="0"/>
                <w:sz w:val="24"/>
                <w:szCs w:val="24"/>
                <w:highlight w:val="none"/>
              </w:rPr>
              <w:t>见附图16</w:t>
            </w:r>
            <w:r>
              <w:rPr>
                <w:rFonts w:hint="eastAsia" w:ascii="仿宋_GB2312" w:hAnsi="仿宋_GB2312" w:eastAsia="仿宋_GB2312" w:cs="仿宋_GB2312"/>
                <w:color w:val="auto"/>
                <w:sz w:val="24"/>
                <w:szCs w:val="24"/>
                <w:highlight w:val="none"/>
              </w:rPr>
              <w:t>（响应文件需提供基座预制、基座预埋固定、艇架系统整体布置施工图纸及方案。）</w:t>
            </w:r>
          </w:p>
        </w:tc>
        <w:tc>
          <w:tcPr>
            <w:tcW w:w="1290" w:type="dxa"/>
            <w:vMerge w:val="continue"/>
            <w:tcBorders>
              <w:left w:val="single" w:color="000000" w:sz="2" w:space="0"/>
              <w:right w:val="single" w:color="000000" w:sz="2" w:space="0"/>
            </w:tcBorders>
            <w:shd w:val="clear" w:color="auto" w:fill="auto"/>
            <w:vAlign w:val="center"/>
          </w:tcPr>
          <w:p>
            <w:pPr>
              <w:widowControl/>
              <w:jc w:val="center"/>
              <w:textAlignment w:val="center"/>
              <w:rPr>
                <w:rStyle w:val="55"/>
                <w:rFonts w:hAnsi="仿宋_GB2312"/>
                <w:color w:val="auto"/>
                <w:sz w:val="24"/>
                <w:szCs w:val="24"/>
                <w:highlight w:val="none"/>
              </w:rPr>
            </w:pPr>
          </w:p>
        </w:tc>
      </w:tr>
      <w:tr>
        <w:tblPrEx>
          <w:tblCellMar>
            <w:top w:w="0" w:type="dxa"/>
            <w:left w:w="108" w:type="dxa"/>
            <w:bottom w:w="0" w:type="dxa"/>
            <w:right w:w="108" w:type="dxa"/>
          </w:tblCellMar>
        </w:tblPrEx>
        <w:trPr>
          <w:trHeight w:val="340"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宋体" w:hAnsi="宋体" w:eastAsia="宋体" w:cs="宋体"/>
                <w:color w:val="auto"/>
                <w:sz w:val="21"/>
                <w:szCs w:val="21"/>
                <w:highlight w:val="none"/>
                <w:lang w:eastAsia="zh-CN"/>
              </w:rPr>
              <w:t>■</w:t>
            </w:r>
            <w:r>
              <w:rPr>
                <w:rFonts w:hint="eastAsia" w:ascii="仿宋_GB2312" w:hAnsi="仿宋_GB2312" w:eastAsia="仿宋_GB2312" w:cs="仿宋_GB2312"/>
                <w:color w:val="auto"/>
                <w:kern w:val="0"/>
                <w:sz w:val="24"/>
                <w:szCs w:val="24"/>
                <w:highlight w:val="none"/>
              </w:rPr>
              <w:t>92</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宋体" w:hAnsi="宋体" w:cs="宋体"/>
                <w:color w:val="auto"/>
                <w:kern w:val="0"/>
                <w:szCs w:val="21"/>
                <w:highlight w:val="none"/>
                <w:lang w:bidi="ar"/>
              </w:rPr>
              <w:t>●</w:t>
            </w:r>
            <w:r>
              <w:rPr>
                <w:rFonts w:hint="eastAsia" w:ascii="仿宋_GB2312" w:hAnsi="仿宋_GB2312" w:eastAsia="仿宋_GB2312" w:cs="仿宋_GB2312"/>
                <w:color w:val="auto"/>
                <w:kern w:val="0"/>
                <w:sz w:val="24"/>
                <w:szCs w:val="24"/>
                <w:highlight w:val="none"/>
              </w:rPr>
              <w:t>封闭式救生艇及降落设备。</w:t>
            </w:r>
          </w:p>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艇长宽高为5.0*2.2*1.1m，吊钩间距：4.6m；需建长8.0米，宽4.5米，厚为0.4米的基座。救生艇基座施工前需开挖预埋1.0cm 厚船用加强钢板，用水泥钢筋混凝土封装，救生艇架固定于基座上。登艇平台做加宽加长加固设计，所用材料为0.8cm角钢以及花铁板（登艇平台长5.0米宽1.5米高2米）。</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Style w:val="55"/>
                <w:rFonts w:hAnsi="仿宋_GB2312"/>
                <w:color w:val="auto"/>
                <w:sz w:val="24"/>
                <w:szCs w:val="24"/>
                <w:highlight w:val="none"/>
              </w:rPr>
            </w:pPr>
            <w:r>
              <w:rPr>
                <w:rFonts w:hint="eastAsia" w:ascii="仿宋_GB2312" w:hAnsi="仿宋_GB2312" w:eastAsia="仿宋_GB2312" w:cs="仿宋_GB2312"/>
                <w:color w:val="auto"/>
                <w:kern w:val="0"/>
                <w:sz w:val="24"/>
                <w:szCs w:val="24"/>
                <w:highlight w:val="none"/>
              </w:rPr>
              <w:t>1艘</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Style w:val="55"/>
                <w:rFonts w:hAnsi="仿宋_GB2312"/>
                <w:color w:val="auto"/>
                <w:sz w:val="24"/>
                <w:szCs w:val="24"/>
                <w:highlight w:val="none"/>
              </w:rPr>
            </w:pPr>
            <w:r>
              <w:rPr>
                <w:rFonts w:hint="eastAsia" w:ascii="仿宋_GB2312" w:hAnsi="仿宋_GB2312" w:eastAsia="仿宋_GB2312" w:cs="仿宋_GB2312"/>
                <w:color w:val="auto"/>
                <w:kern w:val="0"/>
                <w:sz w:val="24"/>
                <w:szCs w:val="24"/>
                <w:highlight w:val="none"/>
              </w:rPr>
              <w:t>具有船舶救生艇制造资质或在救生艇制造商授权下，拆除、运输、安装[包括艇架安装及所需的材料（如登乘梯等）]，艇架须除锈油漆（两度底漆两度面漆）；</w:t>
            </w:r>
            <w:r>
              <w:rPr>
                <w:rFonts w:hint="eastAsia" w:ascii="仿宋_GB2312" w:hAnsi="仿宋_GB2312" w:eastAsia="仿宋_GB2312" w:cs="仿宋_GB2312"/>
                <w:color w:val="auto"/>
                <w:sz w:val="24"/>
                <w:szCs w:val="24"/>
                <w:highlight w:val="none"/>
              </w:rPr>
              <w:t>响应文件需提供施工图纸及安装方案，</w:t>
            </w:r>
            <w:r>
              <w:rPr>
                <w:rFonts w:hint="eastAsia" w:ascii="仿宋_GB2312" w:hAnsi="仿宋_GB2312" w:eastAsia="仿宋_GB2312" w:cs="仿宋_GB2312"/>
                <w:color w:val="auto"/>
                <w:kern w:val="0"/>
                <w:sz w:val="24"/>
                <w:szCs w:val="24"/>
                <w:highlight w:val="none"/>
              </w:rPr>
              <w:t>不包括艇架基座的预制，但需要出基座的施工图纸。安装后调试，进行释放测试正常。</w:t>
            </w:r>
            <w:r>
              <w:rPr>
                <w:rFonts w:hint="eastAsia" w:ascii="仿宋_GB2312" w:hAnsi="仿宋_GB2312" w:eastAsia="仿宋_GB2312" w:cs="仿宋_GB2312"/>
                <w:color w:val="auto"/>
                <w:sz w:val="24"/>
                <w:szCs w:val="24"/>
                <w:highlight w:val="none"/>
              </w:rPr>
              <w:t>质保一年。</w:t>
            </w:r>
            <w:r>
              <w:rPr>
                <w:rFonts w:hint="eastAsia" w:ascii="仿宋_GB2312" w:hAnsi="仿宋_GB2312" w:eastAsia="仿宋_GB2312" w:cs="仿宋_GB2312"/>
                <w:color w:val="auto"/>
                <w:kern w:val="0"/>
                <w:sz w:val="24"/>
                <w:szCs w:val="24"/>
                <w:highlight w:val="none"/>
              </w:rPr>
              <w:t>见附图17</w:t>
            </w:r>
            <w:r>
              <w:rPr>
                <w:rFonts w:hint="eastAsia" w:ascii="仿宋_GB2312" w:hAnsi="仿宋_GB2312" w:eastAsia="仿宋_GB2312" w:cs="仿宋_GB2312"/>
                <w:color w:val="auto"/>
                <w:sz w:val="24"/>
                <w:szCs w:val="24"/>
                <w:highlight w:val="none"/>
              </w:rPr>
              <w:t>（响应文件需提供基座预制、基座预埋固定、艇架系统整体布置施工图纸及方案。）</w:t>
            </w:r>
          </w:p>
        </w:tc>
        <w:tc>
          <w:tcPr>
            <w:tcW w:w="1290" w:type="dxa"/>
            <w:vMerge w:val="continue"/>
            <w:tcBorders>
              <w:left w:val="single" w:color="000000" w:sz="2" w:space="0"/>
              <w:right w:val="single" w:color="000000" w:sz="2" w:space="0"/>
            </w:tcBorders>
            <w:shd w:val="clear" w:color="auto" w:fill="auto"/>
            <w:vAlign w:val="center"/>
          </w:tcPr>
          <w:p>
            <w:pPr>
              <w:widowControl/>
              <w:jc w:val="center"/>
              <w:textAlignment w:val="center"/>
              <w:rPr>
                <w:rStyle w:val="55"/>
                <w:rFonts w:hAnsi="仿宋_GB2312"/>
                <w:color w:val="auto"/>
                <w:sz w:val="24"/>
                <w:szCs w:val="24"/>
                <w:highlight w:val="none"/>
              </w:rPr>
            </w:pPr>
          </w:p>
        </w:tc>
      </w:tr>
      <w:tr>
        <w:tblPrEx>
          <w:tblCellMar>
            <w:top w:w="0" w:type="dxa"/>
            <w:left w:w="108" w:type="dxa"/>
            <w:bottom w:w="0" w:type="dxa"/>
            <w:right w:w="108" w:type="dxa"/>
          </w:tblCellMar>
        </w:tblPrEx>
        <w:trPr>
          <w:trHeight w:val="340"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宋体" w:hAnsi="宋体" w:eastAsia="宋体" w:cs="宋体"/>
                <w:color w:val="auto"/>
                <w:sz w:val="21"/>
                <w:szCs w:val="21"/>
                <w:highlight w:val="none"/>
                <w:lang w:eastAsia="zh-CN"/>
              </w:rPr>
              <w:t>■</w:t>
            </w:r>
            <w:r>
              <w:rPr>
                <w:rFonts w:hint="eastAsia" w:ascii="仿宋_GB2312" w:hAnsi="仿宋_GB2312" w:eastAsia="仿宋_GB2312" w:cs="仿宋_GB2312"/>
                <w:color w:val="auto"/>
                <w:kern w:val="0"/>
                <w:sz w:val="24"/>
                <w:szCs w:val="24"/>
                <w:highlight w:val="none"/>
              </w:rPr>
              <w:t>93</w:t>
            </w:r>
          </w:p>
        </w:tc>
        <w:tc>
          <w:tcPr>
            <w:tcW w:w="376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宋体" w:hAnsi="宋体" w:cs="宋体"/>
                <w:color w:val="auto"/>
                <w:kern w:val="0"/>
                <w:szCs w:val="21"/>
                <w:highlight w:val="none"/>
                <w:lang w:bidi="ar"/>
              </w:rPr>
              <w:t>●</w:t>
            </w:r>
            <w:r>
              <w:rPr>
                <w:rFonts w:hint="eastAsia" w:ascii="仿宋_GB2312" w:hAnsi="仿宋_GB2312" w:eastAsia="仿宋_GB2312" w:cs="仿宋_GB2312"/>
                <w:color w:val="auto"/>
                <w:kern w:val="0"/>
                <w:sz w:val="24"/>
                <w:szCs w:val="24"/>
                <w:highlight w:val="none"/>
              </w:rPr>
              <w:t>尾抛封闭式救生艇及降落设备。</w:t>
            </w:r>
          </w:p>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艇长宽高为7.5*2.75*1.29m，吊钩间距：2.78m；艇架中心间距：3.03m。需建长13.0米，宽6.0米，厚0.5米的基座；救生艇基座施工前需开挖预埋2.0cm厚船用加强钢板，用水泥钢筋混凝土封装，并在基座平台下方填埋鹅暖石，其厚度0.5米，救生艇架共六根立柱（皆为250*250mm的方钢），前二后四（后四根方钢整体长皆为6米，5.3米处于基座平台之上，0.7米处于平台之下，以保证艇架整体的稳固性；前两根1.2米处于基座平台之上，0.5米处于平台之下。）固定于基座上。登艇平台做加宽加长加固设计，所用材料为0.8cm角钢以及花铁板。</w:t>
            </w:r>
          </w:p>
        </w:tc>
        <w:tc>
          <w:tcPr>
            <w:tcW w:w="1077"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Style w:val="55"/>
                <w:rFonts w:hAnsi="仿宋_GB2312"/>
                <w:color w:val="auto"/>
                <w:sz w:val="24"/>
                <w:szCs w:val="24"/>
                <w:highlight w:val="none"/>
              </w:rPr>
            </w:pPr>
            <w:r>
              <w:rPr>
                <w:rFonts w:hint="eastAsia" w:ascii="仿宋_GB2312" w:hAnsi="仿宋_GB2312" w:eastAsia="仿宋_GB2312" w:cs="仿宋_GB2312"/>
                <w:color w:val="auto"/>
                <w:kern w:val="0"/>
                <w:sz w:val="24"/>
                <w:szCs w:val="24"/>
                <w:highlight w:val="none"/>
              </w:rPr>
              <w:t>1套</w:t>
            </w:r>
          </w:p>
        </w:tc>
        <w:tc>
          <w:tcPr>
            <w:tcW w:w="309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Style w:val="55"/>
                <w:rFonts w:hAnsi="仿宋_GB2312"/>
                <w:color w:val="auto"/>
                <w:sz w:val="24"/>
                <w:szCs w:val="24"/>
                <w:highlight w:val="none"/>
              </w:rPr>
            </w:pPr>
            <w:r>
              <w:rPr>
                <w:rFonts w:hint="eastAsia" w:ascii="仿宋_GB2312" w:hAnsi="仿宋_GB2312" w:eastAsia="仿宋_GB2312" w:cs="仿宋_GB2312"/>
                <w:color w:val="auto"/>
                <w:kern w:val="0"/>
                <w:sz w:val="24"/>
                <w:szCs w:val="24"/>
                <w:highlight w:val="none"/>
              </w:rPr>
              <w:t>具有船舶救生艇制造资质或在救生艇制造商授权下，拆除、运输、安装[包括艇架安装及所需的材料（如登乘梯等）]，艇架须除锈油漆（两度底漆两度面漆）；</w:t>
            </w:r>
            <w:r>
              <w:rPr>
                <w:rFonts w:hint="eastAsia" w:ascii="仿宋_GB2312" w:hAnsi="仿宋_GB2312" w:eastAsia="仿宋_GB2312" w:cs="仿宋_GB2312"/>
                <w:color w:val="auto"/>
                <w:sz w:val="24"/>
                <w:szCs w:val="24"/>
                <w:highlight w:val="none"/>
              </w:rPr>
              <w:t>响应文件需提供施工图纸及安装方案，</w:t>
            </w:r>
            <w:r>
              <w:rPr>
                <w:rFonts w:hint="eastAsia" w:ascii="仿宋_GB2312" w:hAnsi="仿宋_GB2312" w:eastAsia="仿宋_GB2312" w:cs="仿宋_GB2312"/>
                <w:color w:val="auto"/>
                <w:kern w:val="0"/>
                <w:sz w:val="24"/>
                <w:szCs w:val="24"/>
                <w:highlight w:val="none"/>
              </w:rPr>
              <w:t>不包括艇架基座的预制，但需要出基座的施工图纸。安装后调试，进行释放测试正常。</w:t>
            </w:r>
            <w:r>
              <w:rPr>
                <w:rFonts w:hint="eastAsia" w:ascii="仿宋_GB2312" w:hAnsi="仿宋_GB2312" w:eastAsia="仿宋_GB2312" w:cs="仿宋_GB2312"/>
                <w:color w:val="auto"/>
                <w:sz w:val="24"/>
                <w:szCs w:val="24"/>
                <w:highlight w:val="none"/>
              </w:rPr>
              <w:t>质保一年。</w:t>
            </w:r>
            <w:r>
              <w:rPr>
                <w:rFonts w:hint="eastAsia" w:ascii="仿宋_GB2312" w:hAnsi="仿宋_GB2312" w:eastAsia="仿宋_GB2312" w:cs="仿宋_GB2312"/>
                <w:color w:val="auto"/>
                <w:kern w:val="0"/>
                <w:sz w:val="24"/>
                <w:szCs w:val="24"/>
                <w:highlight w:val="none"/>
              </w:rPr>
              <w:t>见附图18</w:t>
            </w:r>
            <w:r>
              <w:rPr>
                <w:rFonts w:hint="eastAsia" w:ascii="仿宋_GB2312" w:hAnsi="仿宋_GB2312" w:eastAsia="仿宋_GB2312" w:cs="仿宋_GB2312"/>
                <w:color w:val="auto"/>
                <w:sz w:val="24"/>
                <w:szCs w:val="24"/>
                <w:highlight w:val="none"/>
              </w:rPr>
              <w:t>（响应文件需提供基座预制、基座预埋固定、艇架系统整体布置施工图纸及方案。）</w:t>
            </w:r>
          </w:p>
        </w:tc>
        <w:tc>
          <w:tcPr>
            <w:tcW w:w="1290" w:type="dxa"/>
            <w:vMerge w:val="continue"/>
            <w:tcBorders>
              <w:left w:val="single" w:color="000000" w:sz="2" w:space="0"/>
              <w:bottom w:val="single" w:color="auto" w:sz="4" w:space="0"/>
              <w:right w:val="single" w:color="000000" w:sz="2" w:space="0"/>
            </w:tcBorders>
            <w:shd w:val="clear" w:color="auto" w:fill="auto"/>
            <w:vAlign w:val="center"/>
          </w:tcPr>
          <w:p>
            <w:pPr>
              <w:widowControl/>
              <w:jc w:val="center"/>
              <w:textAlignment w:val="center"/>
              <w:rPr>
                <w:rStyle w:val="55"/>
                <w:rFonts w:hAnsi="仿宋_GB2312"/>
                <w:color w:val="auto"/>
                <w:sz w:val="24"/>
                <w:szCs w:val="24"/>
                <w:highlight w:val="none"/>
              </w:rPr>
            </w:pPr>
          </w:p>
        </w:tc>
      </w:tr>
      <w:tr>
        <w:tblPrEx>
          <w:tblCellMar>
            <w:top w:w="0" w:type="dxa"/>
            <w:left w:w="108" w:type="dxa"/>
            <w:bottom w:w="0" w:type="dxa"/>
            <w:right w:w="108" w:type="dxa"/>
          </w:tblCellMar>
        </w:tblPrEx>
        <w:trPr>
          <w:trHeight w:val="340" w:hRule="atLeast"/>
          <w:jc w:val="center"/>
        </w:trPr>
        <w:tc>
          <w:tcPr>
            <w:tcW w:w="781"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仿宋_GB2312" w:hAnsi="仿宋_GB2312" w:eastAsia="仿宋_GB2312" w:cs="仿宋_GB2312"/>
                <w:b/>
                <w:color w:val="auto"/>
                <w:kern w:val="0"/>
                <w:sz w:val="24"/>
                <w:szCs w:val="24"/>
                <w:highlight w:val="none"/>
              </w:rPr>
            </w:pPr>
          </w:p>
        </w:tc>
        <w:tc>
          <w:tcPr>
            <w:tcW w:w="9223" w:type="dxa"/>
            <w:gridSpan w:val="4"/>
            <w:tcBorders>
              <w:top w:val="single" w:color="000000" w:sz="2" w:space="0"/>
              <w:left w:val="single" w:color="000000" w:sz="2" w:space="0"/>
              <w:bottom w:val="single" w:color="000000" w:sz="2" w:space="0"/>
              <w:right w:val="single" w:color="000000" w:sz="2" w:space="0"/>
            </w:tcBorders>
            <w:shd w:val="clear" w:color="auto" w:fill="auto"/>
            <w:vAlign w:val="center"/>
          </w:tcPr>
          <w:p>
            <w:pPr>
              <w:ind w:firstLine="482" w:firstLineChars="200"/>
              <w:jc w:val="left"/>
              <w:rPr>
                <w:rFonts w:ascii="仿宋_GB2312" w:hAnsi="仿宋_GB2312" w:eastAsia="仿宋_GB2312" w:cs="仿宋_GB2312"/>
                <w:b/>
                <w:color w:val="auto"/>
                <w:kern w:val="0"/>
                <w:sz w:val="24"/>
                <w:szCs w:val="24"/>
                <w:highlight w:val="none"/>
              </w:rPr>
            </w:pPr>
          </w:p>
        </w:tc>
      </w:tr>
    </w:tbl>
    <w:p>
      <w:pPr>
        <w:jc w:val="left"/>
        <w:rPr>
          <w:rFonts w:ascii="仿宋_GB2312" w:eastAsia="仿宋_GB2312"/>
          <w:color w:val="auto"/>
          <w:kern w:val="0"/>
          <w:sz w:val="24"/>
          <w:szCs w:val="24"/>
          <w:highlight w:val="none"/>
        </w:rPr>
      </w:pPr>
      <w:r>
        <w:rPr>
          <w:rFonts w:hint="eastAsia" w:ascii="仿宋_GB2312" w:eastAsia="仿宋_GB2312"/>
          <w:b/>
          <w:bCs/>
          <w:color w:val="auto"/>
          <w:kern w:val="0"/>
          <w:sz w:val="24"/>
          <w:szCs w:val="24"/>
          <w:highlight w:val="none"/>
        </w:rPr>
        <w:t>备注：</w:t>
      </w:r>
      <w:r>
        <w:rPr>
          <w:rFonts w:hint="eastAsia" w:ascii="仿宋_GB2312" w:eastAsia="仿宋_GB2312"/>
          <w:color w:val="auto"/>
          <w:kern w:val="0"/>
          <w:sz w:val="24"/>
          <w:szCs w:val="24"/>
          <w:highlight w:val="none"/>
        </w:rPr>
        <w:t>打包搬迁、按引导员指定的位置摆放整齐，挂图需要拆除并上墙。特殊技术要求设备搬迁要求见后标备注。</w:t>
      </w:r>
    </w:p>
    <w:p>
      <w:pPr>
        <w:jc w:val="left"/>
        <w:rPr>
          <w:rFonts w:ascii="仿宋_GB2312" w:eastAsia="仿宋_GB2312"/>
          <w:color w:val="auto"/>
          <w:kern w:val="0"/>
          <w:sz w:val="24"/>
          <w:szCs w:val="24"/>
          <w:highlight w:val="none"/>
        </w:rPr>
      </w:pPr>
    </w:p>
    <w:p>
      <w:pPr>
        <w:spacing w:line="340" w:lineRule="exact"/>
        <w:jc w:val="left"/>
        <w:rPr>
          <w:rFonts w:ascii="黑体" w:hAnsi="黑体" w:eastAsia="黑体"/>
          <w:color w:val="auto"/>
          <w:kern w:val="2"/>
          <w:sz w:val="28"/>
          <w:szCs w:val="36"/>
          <w:highlight w:val="none"/>
        </w:rPr>
      </w:pPr>
      <w:r>
        <w:rPr>
          <w:rFonts w:hint="eastAsia" w:ascii="黑体" w:hAnsi="黑体" w:eastAsia="黑体"/>
          <w:color w:val="auto"/>
          <w:kern w:val="2"/>
          <w:sz w:val="28"/>
          <w:szCs w:val="36"/>
          <w:highlight w:val="none"/>
        </w:rPr>
        <w:t>（六）航空维修实训室搬迁</w:t>
      </w:r>
    </w:p>
    <w:tbl>
      <w:tblPr>
        <w:tblStyle w:val="23"/>
        <w:tblW w:w="9516" w:type="dxa"/>
        <w:jc w:val="center"/>
        <w:tblLayout w:type="fixed"/>
        <w:tblCellMar>
          <w:top w:w="0" w:type="dxa"/>
          <w:left w:w="108" w:type="dxa"/>
          <w:bottom w:w="0" w:type="dxa"/>
          <w:right w:w="108" w:type="dxa"/>
        </w:tblCellMar>
      </w:tblPr>
      <w:tblGrid>
        <w:gridCol w:w="777"/>
        <w:gridCol w:w="2493"/>
        <w:gridCol w:w="1259"/>
        <w:gridCol w:w="3354"/>
        <w:gridCol w:w="1633"/>
      </w:tblGrid>
      <w:tr>
        <w:tblPrEx>
          <w:tblCellMar>
            <w:top w:w="0" w:type="dxa"/>
            <w:left w:w="108" w:type="dxa"/>
            <w:bottom w:w="0" w:type="dxa"/>
            <w:right w:w="108" w:type="dxa"/>
          </w:tblCellMar>
        </w:tblPrEx>
        <w:trPr>
          <w:trHeight w:val="390" w:hRule="atLeast"/>
          <w:jc w:val="center"/>
        </w:trPr>
        <w:tc>
          <w:tcPr>
            <w:tcW w:w="777" w:type="dxa"/>
            <w:tcBorders>
              <w:top w:val="single" w:color="000000" w:sz="2" w:space="0"/>
              <w:left w:val="single" w:color="000000" w:sz="2" w:space="0"/>
              <w:bottom w:val="single" w:color="000000" w:sz="2" w:space="0"/>
              <w:right w:val="single" w:color="000000" w:sz="2" w:space="0"/>
            </w:tcBorders>
            <w:vAlign w:val="center"/>
          </w:tcPr>
          <w:p>
            <w:pPr>
              <w:rPr>
                <w:rFonts w:ascii="仿宋_GB2312" w:eastAsia="仿宋_GB2312"/>
                <w:b/>
                <w:color w:val="auto"/>
                <w:sz w:val="24"/>
                <w:szCs w:val="24"/>
                <w:highlight w:val="none"/>
              </w:rPr>
            </w:pPr>
            <w:r>
              <w:rPr>
                <w:rFonts w:hint="eastAsia" w:ascii="仿宋_GB2312" w:eastAsia="仿宋_GB2312"/>
                <w:b/>
                <w:color w:val="auto"/>
                <w:kern w:val="0"/>
                <w:sz w:val="24"/>
                <w:szCs w:val="24"/>
                <w:highlight w:val="none"/>
              </w:rPr>
              <w:t>序号</w:t>
            </w:r>
          </w:p>
        </w:tc>
        <w:tc>
          <w:tcPr>
            <w:tcW w:w="2493" w:type="dxa"/>
            <w:tcBorders>
              <w:top w:val="single" w:color="000000" w:sz="2" w:space="0"/>
              <w:left w:val="single" w:color="000000" w:sz="2" w:space="0"/>
              <w:bottom w:val="single" w:color="000000" w:sz="2" w:space="0"/>
              <w:right w:val="single" w:color="000000" w:sz="2" w:space="0"/>
            </w:tcBorders>
            <w:vAlign w:val="center"/>
          </w:tcPr>
          <w:p>
            <w:pPr>
              <w:rPr>
                <w:rFonts w:ascii="仿宋_GB2312" w:eastAsia="仿宋_GB2312"/>
                <w:b/>
                <w:color w:val="auto"/>
                <w:sz w:val="24"/>
                <w:szCs w:val="24"/>
                <w:highlight w:val="none"/>
              </w:rPr>
            </w:pPr>
            <w:r>
              <w:rPr>
                <w:rFonts w:hint="eastAsia" w:ascii="仿宋_GB2312" w:eastAsia="仿宋_GB2312"/>
                <w:b/>
                <w:color w:val="auto"/>
                <w:sz w:val="24"/>
                <w:szCs w:val="24"/>
                <w:highlight w:val="none"/>
              </w:rPr>
              <w:t>设备名称</w:t>
            </w:r>
          </w:p>
        </w:tc>
        <w:tc>
          <w:tcPr>
            <w:tcW w:w="1259" w:type="dxa"/>
            <w:tcBorders>
              <w:top w:val="single" w:color="000000" w:sz="2" w:space="0"/>
              <w:left w:val="single" w:color="000000" w:sz="2" w:space="0"/>
              <w:bottom w:val="single" w:color="000000" w:sz="2" w:space="0"/>
              <w:right w:val="single" w:color="000000" w:sz="2" w:space="0"/>
            </w:tcBorders>
            <w:vAlign w:val="center"/>
          </w:tcPr>
          <w:p>
            <w:pPr>
              <w:rPr>
                <w:rFonts w:ascii="仿宋_GB2312" w:eastAsia="仿宋_GB2312"/>
                <w:b/>
                <w:color w:val="auto"/>
                <w:kern w:val="0"/>
                <w:sz w:val="24"/>
                <w:szCs w:val="24"/>
                <w:highlight w:val="none"/>
              </w:rPr>
            </w:pPr>
            <w:r>
              <w:rPr>
                <w:rFonts w:hint="eastAsia" w:ascii="仿宋_GB2312" w:eastAsia="仿宋_GB2312"/>
                <w:b/>
                <w:color w:val="auto"/>
                <w:kern w:val="0"/>
                <w:sz w:val="24"/>
                <w:szCs w:val="24"/>
                <w:highlight w:val="none"/>
              </w:rPr>
              <w:t>实际数量</w:t>
            </w:r>
          </w:p>
        </w:tc>
        <w:tc>
          <w:tcPr>
            <w:tcW w:w="3354" w:type="dxa"/>
            <w:tcBorders>
              <w:top w:val="single" w:color="000000" w:sz="2" w:space="0"/>
              <w:left w:val="single" w:color="000000" w:sz="2" w:space="0"/>
              <w:bottom w:val="single" w:color="000000" w:sz="2" w:space="0"/>
              <w:right w:val="single" w:color="000000" w:sz="2" w:space="0"/>
            </w:tcBorders>
            <w:vAlign w:val="center"/>
          </w:tcPr>
          <w:p>
            <w:pPr>
              <w:rPr>
                <w:rFonts w:ascii="仿宋_GB2312" w:eastAsia="仿宋_GB2312"/>
                <w:b/>
                <w:color w:val="auto"/>
                <w:sz w:val="24"/>
                <w:szCs w:val="24"/>
                <w:highlight w:val="none"/>
              </w:rPr>
            </w:pPr>
            <w:r>
              <w:rPr>
                <w:rFonts w:hint="eastAsia" w:ascii="仿宋_GB2312" w:eastAsia="仿宋_GB2312"/>
                <w:b/>
                <w:color w:val="auto"/>
                <w:sz w:val="24"/>
                <w:szCs w:val="24"/>
                <w:highlight w:val="none"/>
              </w:rPr>
              <w:t>型号</w:t>
            </w:r>
          </w:p>
        </w:tc>
        <w:tc>
          <w:tcPr>
            <w:tcW w:w="1633" w:type="dxa"/>
            <w:tcBorders>
              <w:top w:val="single" w:color="000000" w:sz="2" w:space="0"/>
              <w:left w:val="single" w:color="000000" w:sz="2" w:space="0"/>
              <w:bottom w:val="single" w:color="000000" w:sz="2" w:space="0"/>
              <w:right w:val="single" w:color="000000" w:sz="2" w:space="0"/>
            </w:tcBorders>
            <w:vAlign w:val="center"/>
          </w:tcPr>
          <w:p>
            <w:pPr>
              <w:rPr>
                <w:rFonts w:ascii="仿宋_GB2312" w:eastAsia="仿宋_GB2312"/>
                <w:b/>
                <w:color w:val="auto"/>
                <w:kern w:val="0"/>
                <w:sz w:val="24"/>
                <w:szCs w:val="24"/>
                <w:highlight w:val="none"/>
              </w:rPr>
            </w:pPr>
            <w:r>
              <w:rPr>
                <w:rFonts w:hint="eastAsia" w:ascii="仿宋_GB2312" w:eastAsia="仿宋_GB2312"/>
                <w:b/>
                <w:color w:val="auto"/>
                <w:kern w:val="0"/>
                <w:sz w:val="24"/>
                <w:szCs w:val="24"/>
                <w:highlight w:val="none"/>
              </w:rPr>
              <w:t>备注</w:t>
            </w:r>
          </w:p>
        </w:tc>
      </w:tr>
      <w:tr>
        <w:tblPrEx>
          <w:tblCellMar>
            <w:top w:w="0" w:type="dxa"/>
            <w:left w:w="108" w:type="dxa"/>
            <w:bottom w:w="0" w:type="dxa"/>
            <w:right w:w="108" w:type="dxa"/>
          </w:tblCellMar>
        </w:tblPrEx>
        <w:trPr>
          <w:trHeight w:val="283" w:hRule="exact"/>
          <w:jc w:val="center"/>
        </w:trPr>
        <w:tc>
          <w:tcPr>
            <w:tcW w:w="77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2493"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发动机</w:t>
            </w:r>
          </w:p>
        </w:tc>
        <w:tc>
          <w:tcPr>
            <w:tcW w:w="125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1台</w:t>
            </w:r>
          </w:p>
        </w:tc>
        <w:tc>
          <w:tcPr>
            <w:tcW w:w="335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Rolls Royce M250-C20系列</w:t>
            </w:r>
          </w:p>
        </w:tc>
        <w:tc>
          <w:tcPr>
            <w:tcW w:w="1633" w:type="dxa"/>
            <w:vMerge w:val="restart"/>
            <w:tcBorders>
              <w:top w:val="single" w:color="000000" w:sz="2" w:space="0"/>
              <w:left w:val="single" w:color="000000" w:sz="2" w:space="0"/>
              <w:right w:val="single" w:color="000000" w:sz="2" w:space="0"/>
            </w:tcBorders>
            <w:vAlign w:val="center"/>
          </w:tcPr>
          <w:p>
            <w:pPr>
              <w:rPr>
                <w:rFonts w:ascii="仿宋_GB2312" w:eastAsia="仿宋_GB2312"/>
                <w:color w:val="auto"/>
                <w:kern w:val="0"/>
                <w:sz w:val="24"/>
                <w:szCs w:val="24"/>
                <w:highlight w:val="none"/>
              </w:rPr>
            </w:pPr>
            <w:r>
              <w:rPr>
                <w:rFonts w:hint="eastAsia" w:ascii="仿宋_GB2312" w:eastAsia="仿宋_GB2312"/>
                <w:color w:val="auto"/>
                <w:kern w:val="0"/>
                <w:sz w:val="24"/>
                <w:szCs w:val="24"/>
                <w:highlight w:val="none"/>
              </w:rPr>
              <w:t>拆除、运输、安装、通电且各项功能测试正常；挂图需要拆除并上墙。</w:t>
            </w:r>
          </w:p>
          <w:p>
            <w:pPr>
              <w:jc w:val="left"/>
              <w:rPr>
                <w:rFonts w:ascii="仿宋_GB2312" w:hAnsi="仿宋_GB2312" w:eastAsia="仿宋_GB2312" w:cs="仿宋_GB2312"/>
                <w:color w:val="auto"/>
                <w:kern w:val="0"/>
                <w:sz w:val="24"/>
                <w:szCs w:val="24"/>
                <w:highlight w:val="none"/>
              </w:rPr>
            </w:pPr>
          </w:p>
          <w:p>
            <w:pPr>
              <w:jc w:val="left"/>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283" w:hRule="exact"/>
          <w:jc w:val="center"/>
        </w:trPr>
        <w:tc>
          <w:tcPr>
            <w:tcW w:w="77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w:t>
            </w:r>
          </w:p>
        </w:tc>
        <w:tc>
          <w:tcPr>
            <w:tcW w:w="2493"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发动机台架</w:t>
            </w:r>
          </w:p>
        </w:tc>
        <w:tc>
          <w:tcPr>
            <w:tcW w:w="125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1台</w:t>
            </w:r>
          </w:p>
        </w:tc>
        <w:tc>
          <w:tcPr>
            <w:tcW w:w="3354" w:type="dxa"/>
            <w:tcBorders>
              <w:top w:val="single" w:color="000000" w:sz="2" w:space="0"/>
              <w:left w:val="single" w:color="000000" w:sz="2" w:space="0"/>
              <w:bottom w:val="single" w:color="000000" w:sz="2" w:space="0"/>
              <w:right w:val="single" w:color="000000" w:sz="2" w:space="0"/>
            </w:tcBorders>
            <w:vAlign w:val="center"/>
          </w:tcPr>
          <w:p>
            <w:pPr>
              <w:jc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1130mm*900mm*1181mm</w:t>
            </w:r>
          </w:p>
        </w:tc>
        <w:tc>
          <w:tcPr>
            <w:tcW w:w="1633" w:type="dxa"/>
            <w:vMerge w:val="continue"/>
            <w:tcBorders>
              <w:left w:val="single" w:color="000000" w:sz="2" w:space="0"/>
              <w:right w:val="single" w:color="000000" w:sz="2" w:space="0"/>
            </w:tcBorders>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7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w:t>
            </w:r>
          </w:p>
        </w:tc>
        <w:tc>
          <w:tcPr>
            <w:tcW w:w="2493"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一体机</w:t>
            </w:r>
          </w:p>
        </w:tc>
        <w:tc>
          <w:tcPr>
            <w:tcW w:w="125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2/套</w:t>
            </w:r>
          </w:p>
        </w:tc>
        <w:tc>
          <w:tcPr>
            <w:tcW w:w="3354" w:type="dxa"/>
            <w:tcBorders>
              <w:top w:val="single" w:color="000000" w:sz="2" w:space="0"/>
              <w:left w:val="single" w:color="000000" w:sz="2" w:space="0"/>
              <w:bottom w:val="single" w:color="000000" w:sz="2" w:space="0"/>
              <w:right w:val="single" w:color="000000" w:sz="2" w:space="0"/>
            </w:tcBorders>
            <w:vAlign w:val="center"/>
          </w:tcPr>
          <w:p>
            <w:pPr>
              <w:jc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65寸触控一体机/东方久瑞/DS-65CSP-A/电容/4K/开按键孔/两侧安装内置音响</w:t>
            </w:r>
          </w:p>
        </w:tc>
        <w:tc>
          <w:tcPr>
            <w:tcW w:w="1633" w:type="dxa"/>
            <w:vMerge w:val="continue"/>
            <w:tcBorders>
              <w:left w:val="single" w:color="000000" w:sz="2" w:space="0"/>
              <w:right w:val="single" w:color="000000" w:sz="2" w:space="0"/>
            </w:tcBorders>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283" w:hRule="exact"/>
          <w:jc w:val="center"/>
        </w:trPr>
        <w:tc>
          <w:tcPr>
            <w:tcW w:w="77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w:t>
            </w:r>
          </w:p>
        </w:tc>
        <w:tc>
          <w:tcPr>
            <w:tcW w:w="2493"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工具摆放架</w:t>
            </w:r>
          </w:p>
        </w:tc>
        <w:tc>
          <w:tcPr>
            <w:tcW w:w="125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2座</w:t>
            </w:r>
          </w:p>
        </w:tc>
        <w:tc>
          <w:tcPr>
            <w:tcW w:w="3354" w:type="dxa"/>
            <w:tcBorders>
              <w:top w:val="single" w:color="000000" w:sz="2" w:space="0"/>
              <w:left w:val="single" w:color="000000" w:sz="2" w:space="0"/>
              <w:bottom w:val="single" w:color="000000" w:sz="2" w:space="0"/>
              <w:right w:val="single" w:color="000000" w:sz="2" w:space="0"/>
            </w:tcBorders>
            <w:vAlign w:val="center"/>
          </w:tcPr>
          <w:p>
            <w:pPr>
              <w:jc w:val="center"/>
              <w:rPr>
                <w:rFonts w:ascii="仿宋_GB2312" w:hAnsi="仿宋_GB2312" w:eastAsia="仿宋_GB2312" w:cs="仿宋_GB2312"/>
                <w:color w:val="auto"/>
                <w:kern w:val="0"/>
                <w:sz w:val="24"/>
                <w:szCs w:val="24"/>
                <w:highlight w:val="none"/>
              </w:rPr>
            </w:pPr>
          </w:p>
        </w:tc>
        <w:tc>
          <w:tcPr>
            <w:tcW w:w="1633" w:type="dxa"/>
            <w:vMerge w:val="continue"/>
            <w:tcBorders>
              <w:left w:val="single" w:color="000000" w:sz="2" w:space="0"/>
              <w:right w:val="single" w:color="000000" w:sz="2" w:space="0"/>
            </w:tcBorders>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7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w:t>
            </w:r>
          </w:p>
        </w:tc>
        <w:tc>
          <w:tcPr>
            <w:tcW w:w="2493"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挂式空调</w:t>
            </w:r>
          </w:p>
        </w:tc>
        <w:tc>
          <w:tcPr>
            <w:tcW w:w="125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2套</w:t>
            </w:r>
          </w:p>
        </w:tc>
        <w:tc>
          <w:tcPr>
            <w:tcW w:w="3354" w:type="dxa"/>
            <w:tcBorders>
              <w:top w:val="single" w:color="000000" w:sz="2" w:space="0"/>
              <w:left w:val="single" w:color="000000" w:sz="2" w:space="0"/>
              <w:bottom w:val="single" w:color="000000" w:sz="2" w:space="0"/>
              <w:right w:val="single" w:color="000000" w:sz="2" w:space="0"/>
            </w:tcBorders>
            <w:vAlign w:val="center"/>
          </w:tcPr>
          <w:p>
            <w:pPr>
              <w:jc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格力KFR-26GW/(26570)Aa-3</w:t>
            </w:r>
          </w:p>
        </w:tc>
        <w:tc>
          <w:tcPr>
            <w:tcW w:w="1633" w:type="dxa"/>
            <w:vMerge w:val="continue"/>
            <w:tcBorders>
              <w:left w:val="single" w:color="000000" w:sz="2" w:space="0"/>
              <w:right w:val="single" w:color="000000" w:sz="2" w:space="0"/>
            </w:tcBorders>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283" w:hRule="atLeast"/>
          <w:jc w:val="center"/>
        </w:trPr>
        <w:tc>
          <w:tcPr>
            <w:tcW w:w="77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w:t>
            </w:r>
          </w:p>
        </w:tc>
        <w:tc>
          <w:tcPr>
            <w:tcW w:w="2493"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笔记本电脑</w:t>
            </w:r>
          </w:p>
        </w:tc>
        <w:tc>
          <w:tcPr>
            <w:tcW w:w="125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2</w:t>
            </w:r>
          </w:p>
        </w:tc>
        <w:tc>
          <w:tcPr>
            <w:tcW w:w="335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戴尔DELL/Latitude 3520</w:t>
            </w:r>
          </w:p>
        </w:tc>
        <w:tc>
          <w:tcPr>
            <w:tcW w:w="1633" w:type="dxa"/>
            <w:vMerge w:val="continue"/>
            <w:tcBorders>
              <w:left w:val="single" w:color="000000" w:sz="2" w:space="0"/>
              <w:right w:val="single" w:color="000000" w:sz="2" w:space="0"/>
            </w:tcBorders>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7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w:t>
            </w:r>
          </w:p>
        </w:tc>
        <w:tc>
          <w:tcPr>
            <w:tcW w:w="2493"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机箱</w:t>
            </w:r>
          </w:p>
        </w:tc>
        <w:tc>
          <w:tcPr>
            <w:tcW w:w="125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2个</w:t>
            </w:r>
          </w:p>
        </w:tc>
        <w:tc>
          <w:tcPr>
            <w:tcW w:w="335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I5-8500/8G/SSD-128G/400W/12V航插转DC*3</w:t>
            </w:r>
          </w:p>
        </w:tc>
        <w:tc>
          <w:tcPr>
            <w:tcW w:w="1633" w:type="dxa"/>
            <w:vMerge w:val="continue"/>
            <w:tcBorders>
              <w:left w:val="single" w:color="000000" w:sz="2" w:space="0"/>
              <w:right w:val="single" w:color="000000" w:sz="2" w:space="0"/>
            </w:tcBorders>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7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w:t>
            </w:r>
          </w:p>
        </w:tc>
        <w:tc>
          <w:tcPr>
            <w:tcW w:w="2493"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显卡</w:t>
            </w:r>
          </w:p>
        </w:tc>
        <w:tc>
          <w:tcPr>
            <w:tcW w:w="125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2个</w:t>
            </w:r>
          </w:p>
        </w:tc>
        <w:tc>
          <w:tcPr>
            <w:tcW w:w="3354" w:type="dxa"/>
            <w:tcBorders>
              <w:top w:val="single" w:color="000000" w:sz="2" w:space="0"/>
              <w:left w:val="single" w:color="000000" w:sz="2" w:space="0"/>
              <w:bottom w:val="single" w:color="000000" w:sz="2" w:space="0"/>
              <w:right w:val="single" w:color="000000" w:sz="2" w:space="0"/>
            </w:tcBorders>
            <w:vAlign w:val="center"/>
          </w:tcPr>
          <w:p>
            <w:pPr>
              <w:jc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影驰/GeForce RTX 3060/金属大师Mini[FG]/12G</w:t>
            </w:r>
          </w:p>
        </w:tc>
        <w:tc>
          <w:tcPr>
            <w:tcW w:w="1633" w:type="dxa"/>
            <w:vMerge w:val="continue"/>
            <w:tcBorders>
              <w:left w:val="single" w:color="000000" w:sz="2" w:space="0"/>
              <w:right w:val="single" w:color="000000" w:sz="2" w:space="0"/>
            </w:tcBorders>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283" w:hRule="atLeast"/>
          <w:jc w:val="center"/>
        </w:trPr>
        <w:tc>
          <w:tcPr>
            <w:tcW w:w="77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9</w:t>
            </w:r>
          </w:p>
        </w:tc>
        <w:tc>
          <w:tcPr>
            <w:tcW w:w="2493"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键鼠</w:t>
            </w:r>
          </w:p>
        </w:tc>
        <w:tc>
          <w:tcPr>
            <w:tcW w:w="125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2套</w:t>
            </w:r>
          </w:p>
        </w:tc>
        <w:tc>
          <w:tcPr>
            <w:tcW w:w="335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飞燕笔记本键盘+鼠标</w:t>
            </w:r>
          </w:p>
        </w:tc>
        <w:tc>
          <w:tcPr>
            <w:tcW w:w="1633" w:type="dxa"/>
            <w:vMerge w:val="continue"/>
            <w:tcBorders>
              <w:left w:val="single" w:color="000000" w:sz="2" w:space="0"/>
              <w:right w:val="single" w:color="000000" w:sz="2" w:space="0"/>
            </w:tcBorders>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283" w:hRule="atLeast"/>
          <w:jc w:val="center"/>
        </w:trPr>
        <w:tc>
          <w:tcPr>
            <w:tcW w:w="77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w:t>
            </w:r>
          </w:p>
        </w:tc>
        <w:tc>
          <w:tcPr>
            <w:tcW w:w="2493"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无线网卡</w:t>
            </w:r>
          </w:p>
        </w:tc>
        <w:tc>
          <w:tcPr>
            <w:tcW w:w="125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2/把</w:t>
            </w:r>
          </w:p>
        </w:tc>
        <w:tc>
          <w:tcPr>
            <w:tcW w:w="3354" w:type="dxa"/>
            <w:tcBorders>
              <w:top w:val="single" w:color="000000" w:sz="2" w:space="0"/>
              <w:left w:val="single" w:color="000000" w:sz="2" w:space="0"/>
              <w:bottom w:val="single" w:color="000000" w:sz="2" w:space="0"/>
              <w:right w:val="single" w:color="000000" w:sz="2" w:space="0"/>
            </w:tcBorders>
            <w:vAlign w:val="center"/>
          </w:tcPr>
          <w:p>
            <w:pPr>
              <w:jc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USB/TL-WN725N</w:t>
            </w:r>
          </w:p>
        </w:tc>
        <w:tc>
          <w:tcPr>
            <w:tcW w:w="1633" w:type="dxa"/>
            <w:vMerge w:val="continue"/>
            <w:tcBorders>
              <w:left w:val="single" w:color="000000" w:sz="2" w:space="0"/>
              <w:right w:val="single" w:color="000000" w:sz="2" w:space="0"/>
            </w:tcBorders>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340" w:hRule="atLeast"/>
          <w:jc w:val="center"/>
        </w:trPr>
        <w:tc>
          <w:tcPr>
            <w:tcW w:w="77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11</w:t>
            </w:r>
          </w:p>
        </w:tc>
        <w:tc>
          <w:tcPr>
            <w:tcW w:w="2493"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飞机液压系统排故训练器</w:t>
            </w:r>
          </w:p>
        </w:tc>
        <w:tc>
          <w:tcPr>
            <w:tcW w:w="125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1台</w:t>
            </w:r>
          </w:p>
        </w:tc>
        <w:tc>
          <w:tcPr>
            <w:tcW w:w="3354" w:type="dxa"/>
            <w:tcBorders>
              <w:top w:val="single" w:color="000000" w:sz="2" w:space="0"/>
              <w:left w:val="single" w:color="000000" w:sz="2" w:space="0"/>
              <w:bottom w:val="single" w:color="000000" w:sz="2" w:space="0"/>
              <w:right w:val="single" w:color="000000" w:sz="2" w:space="0"/>
            </w:tcBorders>
            <w:vAlign w:val="center"/>
          </w:tcPr>
          <w:p>
            <w:pPr>
              <w:jc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捷安定制</w:t>
            </w:r>
          </w:p>
        </w:tc>
        <w:tc>
          <w:tcPr>
            <w:tcW w:w="1633" w:type="dxa"/>
            <w:vMerge w:val="continue"/>
            <w:tcBorders>
              <w:left w:val="single" w:color="000000" w:sz="2" w:space="0"/>
              <w:right w:val="single" w:color="000000" w:sz="2" w:space="0"/>
            </w:tcBorders>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283" w:hRule="exact"/>
          <w:jc w:val="center"/>
        </w:trPr>
        <w:tc>
          <w:tcPr>
            <w:tcW w:w="777" w:type="dxa"/>
            <w:tcBorders>
              <w:top w:val="single" w:color="000000" w:sz="2" w:space="0"/>
              <w:left w:val="single" w:color="000000" w:sz="2" w:space="0"/>
              <w:bottom w:val="single" w:color="000000" w:sz="2" w:space="0"/>
              <w:right w:val="single" w:color="000000" w:sz="2" w:space="0"/>
            </w:tcBorders>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12</w:t>
            </w:r>
          </w:p>
        </w:tc>
        <w:tc>
          <w:tcPr>
            <w:tcW w:w="2493"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工具</w:t>
            </w:r>
          </w:p>
        </w:tc>
        <w:tc>
          <w:tcPr>
            <w:tcW w:w="125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1批</w:t>
            </w:r>
          </w:p>
        </w:tc>
        <w:tc>
          <w:tcPr>
            <w:tcW w:w="3354" w:type="dxa"/>
            <w:tcBorders>
              <w:top w:val="single" w:color="000000" w:sz="2" w:space="0"/>
              <w:left w:val="single" w:color="000000" w:sz="2" w:space="0"/>
              <w:bottom w:val="single" w:color="000000" w:sz="2" w:space="0"/>
              <w:right w:val="single" w:color="000000" w:sz="2" w:space="0"/>
            </w:tcBorders>
            <w:vAlign w:val="center"/>
          </w:tcPr>
          <w:p>
            <w:pPr>
              <w:jc w:val="center"/>
              <w:rPr>
                <w:rFonts w:ascii="仿宋_GB2312" w:hAnsi="仿宋_GB2312" w:eastAsia="仿宋_GB2312" w:cs="仿宋_GB2312"/>
                <w:color w:val="auto"/>
                <w:kern w:val="0"/>
                <w:sz w:val="24"/>
                <w:szCs w:val="24"/>
                <w:highlight w:val="none"/>
              </w:rPr>
            </w:pPr>
          </w:p>
        </w:tc>
        <w:tc>
          <w:tcPr>
            <w:tcW w:w="1633" w:type="dxa"/>
            <w:vMerge w:val="continue"/>
            <w:tcBorders>
              <w:left w:val="single" w:color="000000" w:sz="2" w:space="0"/>
              <w:right w:val="single" w:color="000000" w:sz="2" w:space="0"/>
            </w:tcBorders>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283" w:hRule="exact"/>
          <w:jc w:val="center"/>
        </w:trPr>
        <w:tc>
          <w:tcPr>
            <w:tcW w:w="777" w:type="dxa"/>
            <w:tcBorders>
              <w:top w:val="single" w:color="000000" w:sz="2" w:space="0"/>
              <w:left w:val="single" w:color="000000" w:sz="2" w:space="0"/>
              <w:bottom w:val="single" w:color="000000" w:sz="2" w:space="0"/>
              <w:right w:val="single" w:color="000000" w:sz="2" w:space="0"/>
            </w:tcBorders>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13</w:t>
            </w:r>
          </w:p>
        </w:tc>
        <w:tc>
          <w:tcPr>
            <w:tcW w:w="2493"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耗材</w:t>
            </w:r>
          </w:p>
        </w:tc>
        <w:tc>
          <w:tcPr>
            <w:tcW w:w="125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1批</w:t>
            </w:r>
          </w:p>
        </w:tc>
        <w:tc>
          <w:tcPr>
            <w:tcW w:w="3354" w:type="dxa"/>
            <w:tcBorders>
              <w:top w:val="single" w:color="000000" w:sz="2" w:space="0"/>
              <w:left w:val="single" w:color="000000" w:sz="2" w:space="0"/>
              <w:bottom w:val="single" w:color="000000" w:sz="2" w:space="0"/>
              <w:right w:val="single" w:color="000000" w:sz="2" w:space="0"/>
            </w:tcBorders>
            <w:vAlign w:val="center"/>
          </w:tcPr>
          <w:p>
            <w:pPr>
              <w:jc w:val="center"/>
              <w:rPr>
                <w:rFonts w:ascii="仿宋_GB2312" w:hAnsi="仿宋_GB2312" w:eastAsia="仿宋_GB2312" w:cs="仿宋_GB2312"/>
                <w:color w:val="auto"/>
                <w:kern w:val="0"/>
                <w:sz w:val="24"/>
                <w:szCs w:val="24"/>
                <w:highlight w:val="none"/>
              </w:rPr>
            </w:pPr>
          </w:p>
        </w:tc>
        <w:tc>
          <w:tcPr>
            <w:tcW w:w="1633" w:type="dxa"/>
            <w:vMerge w:val="continue"/>
            <w:tcBorders>
              <w:left w:val="single" w:color="000000" w:sz="2" w:space="0"/>
              <w:right w:val="single" w:color="000000" w:sz="2" w:space="0"/>
            </w:tcBorders>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283" w:hRule="exact"/>
          <w:jc w:val="center"/>
        </w:trPr>
        <w:tc>
          <w:tcPr>
            <w:tcW w:w="777" w:type="dxa"/>
            <w:tcBorders>
              <w:top w:val="single" w:color="000000" w:sz="2" w:space="0"/>
              <w:left w:val="single" w:color="000000" w:sz="2" w:space="0"/>
              <w:bottom w:val="single" w:color="000000" w:sz="2" w:space="0"/>
              <w:right w:val="single" w:color="000000" w:sz="2" w:space="0"/>
            </w:tcBorders>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14</w:t>
            </w:r>
          </w:p>
        </w:tc>
        <w:tc>
          <w:tcPr>
            <w:tcW w:w="2493"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课桌</w:t>
            </w:r>
          </w:p>
        </w:tc>
        <w:tc>
          <w:tcPr>
            <w:tcW w:w="125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w:t>
            </w:r>
          </w:p>
        </w:tc>
        <w:tc>
          <w:tcPr>
            <w:tcW w:w="3354" w:type="dxa"/>
            <w:tcBorders>
              <w:top w:val="single" w:color="000000" w:sz="2" w:space="0"/>
              <w:left w:val="single" w:color="000000" w:sz="2" w:space="0"/>
              <w:bottom w:val="single" w:color="000000" w:sz="2" w:space="0"/>
              <w:right w:val="single" w:color="000000" w:sz="2" w:space="0"/>
            </w:tcBorders>
            <w:vAlign w:val="center"/>
          </w:tcPr>
          <w:p>
            <w:pPr>
              <w:jc w:val="center"/>
              <w:rPr>
                <w:rFonts w:ascii="仿宋_GB2312" w:hAnsi="仿宋_GB2312" w:eastAsia="仿宋_GB2312" w:cs="仿宋_GB2312"/>
                <w:color w:val="auto"/>
                <w:kern w:val="0"/>
                <w:sz w:val="24"/>
                <w:szCs w:val="24"/>
                <w:highlight w:val="none"/>
              </w:rPr>
            </w:pPr>
          </w:p>
        </w:tc>
        <w:tc>
          <w:tcPr>
            <w:tcW w:w="1633" w:type="dxa"/>
            <w:vMerge w:val="continue"/>
            <w:tcBorders>
              <w:left w:val="single" w:color="000000" w:sz="2" w:space="0"/>
              <w:right w:val="single" w:color="000000" w:sz="2" w:space="0"/>
            </w:tcBorders>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283" w:hRule="exact"/>
          <w:jc w:val="center"/>
        </w:trPr>
        <w:tc>
          <w:tcPr>
            <w:tcW w:w="777" w:type="dxa"/>
            <w:tcBorders>
              <w:top w:val="single" w:color="000000" w:sz="2" w:space="0"/>
              <w:left w:val="single" w:color="000000" w:sz="2" w:space="0"/>
              <w:bottom w:val="single" w:color="000000" w:sz="2" w:space="0"/>
              <w:right w:val="single" w:color="000000" w:sz="2" w:space="0"/>
            </w:tcBorders>
            <w:vAlign w:val="center"/>
          </w:tcPr>
          <w:p>
            <w:pPr>
              <w:widowControl/>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15</w:t>
            </w:r>
          </w:p>
        </w:tc>
        <w:tc>
          <w:tcPr>
            <w:tcW w:w="2493"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椅</w:t>
            </w:r>
          </w:p>
        </w:tc>
        <w:tc>
          <w:tcPr>
            <w:tcW w:w="125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20</w:t>
            </w:r>
          </w:p>
        </w:tc>
        <w:tc>
          <w:tcPr>
            <w:tcW w:w="3354" w:type="dxa"/>
            <w:tcBorders>
              <w:top w:val="single" w:color="000000" w:sz="2" w:space="0"/>
              <w:left w:val="single" w:color="000000" w:sz="2" w:space="0"/>
              <w:bottom w:val="single" w:color="000000" w:sz="2" w:space="0"/>
              <w:right w:val="single" w:color="000000" w:sz="2" w:space="0"/>
            </w:tcBorders>
            <w:vAlign w:val="center"/>
          </w:tcPr>
          <w:p>
            <w:pPr>
              <w:jc w:val="center"/>
              <w:rPr>
                <w:rFonts w:ascii="仿宋_GB2312" w:hAnsi="仿宋_GB2312" w:eastAsia="仿宋_GB2312" w:cs="仿宋_GB2312"/>
                <w:color w:val="auto"/>
                <w:kern w:val="0"/>
                <w:sz w:val="24"/>
                <w:szCs w:val="24"/>
                <w:highlight w:val="none"/>
              </w:rPr>
            </w:pPr>
          </w:p>
        </w:tc>
        <w:tc>
          <w:tcPr>
            <w:tcW w:w="1633" w:type="dxa"/>
            <w:vMerge w:val="continue"/>
            <w:tcBorders>
              <w:left w:val="single" w:color="000000" w:sz="2" w:space="0"/>
              <w:right w:val="single" w:color="000000" w:sz="2" w:space="0"/>
            </w:tcBorders>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283" w:hRule="exact"/>
          <w:jc w:val="center"/>
        </w:trPr>
        <w:tc>
          <w:tcPr>
            <w:tcW w:w="77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16</w:t>
            </w:r>
          </w:p>
        </w:tc>
        <w:tc>
          <w:tcPr>
            <w:tcW w:w="2493"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标准线路施工台架</w:t>
            </w:r>
          </w:p>
        </w:tc>
        <w:tc>
          <w:tcPr>
            <w:tcW w:w="125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2台</w:t>
            </w:r>
          </w:p>
        </w:tc>
        <w:tc>
          <w:tcPr>
            <w:tcW w:w="335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2400*600*2000</w:t>
            </w:r>
          </w:p>
        </w:tc>
        <w:tc>
          <w:tcPr>
            <w:tcW w:w="1633" w:type="dxa"/>
            <w:vMerge w:val="continue"/>
            <w:tcBorders>
              <w:left w:val="single" w:color="000000" w:sz="2" w:space="0"/>
              <w:right w:val="single" w:color="000000" w:sz="2" w:space="0"/>
            </w:tcBorders>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283" w:hRule="exact"/>
          <w:jc w:val="center"/>
        </w:trPr>
        <w:tc>
          <w:tcPr>
            <w:tcW w:w="77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17</w:t>
            </w:r>
          </w:p>
        </w:tc>
        <w:tc>
          <w:tcPr>
            <w:tcW w:w="2493"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飞机紧固件施工台架</w:t>
            </w:r>
          </w:p>
        </w:tc>
        <w:tc>
          <w:tcPr>
            <w:tcW w:w="125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2台</w:t>
            </w:r>
          </w:p>
        </w:tc>
        <w:tc>
          <w:tcPr>
            <w:tcW w:w="335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2200*600*1600</w:t>
            </w:r>
          </w:p>
        </w:tc>
        <w:tc>
          <w:tcPr>
            <w:tcW w:w="1633" w:type="dxa"/>
            <w:tcBorders>
              <w:left w:val="single" w:color="000000" w:sz="2" w:space="0"/>
              <w:right w:val="single" w:color="000000" w:sz="2" w:space="0"/>
            </w:tcBorders>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283" w:hRule="exact"/>
          <w:jc w:val="center"/>
        </w:trPr>
        <w:tc>
          <w:tcPr>
            <w:tcW w:w="77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18</w:t>
            </w:r>
          </w:p>
        </w:tc>
        <w:tc>
          <w:tcPr>
            <w:tcW w:w="2493"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航空器件测量台架</w:t>
            </w:r>
          </w:p>
        </w:tc>
        <w:tc>
          <w:tcPr>
            <w:tcW w:w="125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2台</w:t>
            </w:r>
          </w:p>
        </w:tc>
        <w:tc>
          <w:tcPr>
            <w:tcW w:w="335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2200*600*1600</w:t>
            </w:r>
          </w:p>
        </w:tc>
        <w:tc>
          <w:tcPr>
            <w:tcW w:w="1633" w:type="dxa"/>
            <w:tcBorders>
              <w:left w:val="single" w:color="000000" w:sz="2" w:space="0"/>
              <w:right w:val="single" w:color="000000" w:sz="2" w:space="0"/>
            </w:tcBorders>
            <w:vAlign w:val="center"/>
          </w:tcPr>
          <w:p>
            <w:pPr>
              <w:rPr>
                <w:rFonts w:ascii="仿宋_GB2312" w:hAnsi="仿宋_GB2312" w:eastAsia="仿宋_GB2312" w:cs="仿宋_GB2312"/>
                <w:color w:val="auto"/>
                <w:kern w:val="0"/>
                <w:sz w:val="24"/>
                <w:szCs w:val="24"/>
                <w:highlight w:val="none"/>
              </w:rPr>
            </w:pPr>
          </w:p>
        </w:tc>
      </w:tr>
      <w:tr>
        <w:tblPrEx>
          <w:tblCellMar>
            <w:top w:w="0" w:type="dxa"/>
            <w:left w:w="108" w:type="dxa"/>
            <w:bottom w:w="0" w:type="dxa"/>
            <w:right w:w="108" w:type="dxa"/>
          </w:tblCellMar>
        </w:tblPrEx>
        <w:trPr>
          <w:trHeight w:val="283" w:hRule="exact"/>
          <w:jc w:val="center"/>
        </w:trPr>
        <w:tc>
          <w:tcPr>
            <w:tcW w:w="77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color w:val="auto"/>
                <w:kern w:val="0"/>
                <w:sz w:val="24"/>
                <w:szCs w:val="24"/>
                <w:highlight w:val="none"/>
              </w:rPr>
            </w:pPr>
          </w:p>
        </w:tc>
        <w:tc>
          <w:tcPr>
            <w:tcW w:w="2493" w:type="dxa"/>
            <w:tcBorders>
              <w:top w:val="single" w:color="000000" w:sz="2" w:space="0"/>
              <w:left w:val="single" w:color="000000" w:sz="2" w:space="0"/>
              <w:bottom w:val="single" w:color="000000" w:sz="2" w:space="0"/>
              <w:right w:val="single" w:color="000000" w:sz="2" w:space="0"/>
            </w:tcBorders>
            <w:vAlign w:val="center"/>
          </w:tcPr>
          <w:p>
            <w:pPr>
              <w:widowControl/>
              <w:jc w:val="left"/>
              <w:textAlignment w:val="center"/>
              <w:rPr>
                <w:rFonts w:ascii="仿宋_GB2312" w:hAnsi="仿宋_GB2312" w:eastAsia="仿宋_GB2312" w:cs="仿宋_GB2312"/>
                <w:b/>
                <w:bCs/>
                <w:color w:val="auto"/>
                <w:kern w:val="0"/>
                <w:sz w:val="24"/>
                <w:szCs w:val="24"/>
                <w:highlight w:val="none"/>
              </w:rPr>
            </w:pPr>
          </w:p>
        </w:tc>
        <w:tc>
          <w:tcPr>
            <w:tcW w:w="1259"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b/>
                <w:color w:val="auto"/>
                <w:kern w:val="0"/>
                <w:sz w:val="24"/>
                <w:szCs w:val="24"/>
                <w:highlight w:val="none"/>
              </w:rPr>
            </w:pPr>
          </w:p>
        </w:tc>
        <w:tc>
          <w:tcPr>
            <w:tcW w:w="335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仿宋_GB2312" w:cs="仿宋_GB2312"/>
                <w:b/>
                <w:bCs/>
                <w:color w:val="auto"/>
                <w:kern w:val="0"/>
                <w:sz w:val="24"/>
                <w:szCs w:val="24"/>
                <w:highlight w:val="none"/>
              </w:rPr>
            </w:pPr>
          </w:p>
        </w:tc>
        <w:tc>
          <w:tcPr>
            <w:tcW w:w="1633" w:type="dxa"/>
            <w:tcBorders>
              <w:left w:val="single" w:color="000000" w:sz="2" w:space="0"/>
              <w:right w:val="single" w:color="000000" w:sz="2" w:space="0"/>
            </w:tcBorders>
            <w:vAlign w:val="center"/>
          </w:tcPr>
          <w:p>
            <w:pPr>
              <w:rPr>
                <w:rFonts w:ascii="仿宋_GB2312" w:hAnsi="仿宋_GB2312" w:eastAsia="仿宋_GB2312" w:cs="仿宋_GB2312"/>
                <w:color w:val="auto"/>
                <w:kern w:val="0"/>
                <w:sz w:val="24"/>
                <w:szCs w:val="24"/>
                <w:highlight w:val="none"/>
              </w:rPr>
            </w:pPr>
          </w:p>
        </w:tc>
      </w:tr>
    </w:tbl>
    <w:p>
      <w:pPr>
        <w:rPr>
          <w:color w:val="auto"/>
          <w:highlight w:val="none"/>
        </w:rPr>
      </w:pPr>
      <w:r>
        <w:rPr>
          <w:rFonts w:hint="eastAsia" w:ascii="仿宋_GB2312" w:eastAsia="仿宋_GB2312"/>
          <w:b/>
          <w:bCs/>
          <w:color w:val="auto"/>
          <w:kern w:val="0"/>
          <w:sz w:val="24"/>
          <w:szCs w:val="24"/>
          <w:highlight w:val="none"/>
        </w:rPr>
        <w:t>备注：</w:t>
      </w:r>
      <w:r>
        <w:rPr>
          <w:rFonts w:hint="eastAsia" w:ascii="仿宋_GB2312" w:eastAsia="仿宋_GB2312"/>
          <w:color w:val="auto"/>
          <w:kern w:val="0"/>
          <w:sz w:val="24"/>
          <w:szCs w:val="24"/>
          <w:highlight w:val="none"/>
        </w:rPr>
        <w:t>拆除、运输、安装、通电且各项功能测试正常；挂图需要拆除并上墙。</w:t>
      </w:r>
    </w:p>
    <w:p>
      <w:pPr>
        <w:rPr>
          <w:rFonts w:eastAsiaTheme="minorEastAsia"/>
          <w:b/>
          <w:bCs/>
          <w:color w:val="auto"/>
          <w:highlight w:val="none"/>
        </w:rPr>
      </w:pPr>
      <w:r>
        <w:rPr>
          <w:rFonts w:hint="eastAsia" w:ascii="仿宋_GB2312" w:hAnsi="仿宋_GB2312" w:eastAsia="仿宋_GB2312" w:cs="仿宋_GB2312"/>
          <w:b/>
          <w:bCs/>
          <w:color w:val="auto"/>
          <w:sz w:val="30"/>
          <w:szCs w:val="30"/>
          <w:highlight w:val="none"/>
        </w:rPr>
        <w:t>三、附图</w:t>
      </w:r>
    </w:p>
    <w:p>
      <w:pPr>
        <w:rPr>
          <w:b/>
          <w:bCs/>
          <w:color w:val="auto"/>
          <w:highlight w:val="none"/>
        </w:rPr>
      </w:pPr>
      <w:r>
        <w:rPr>
          <w:rFonts w:hint="eastAsia"/>
          <w:b/>
          <w:bCs/>
          <w:color w:val="auto"/>
          <w:highlight w:val="none"/>
        </w:rPr>
        <w:t>附图1：</w:t>
      </w:r>
    </w:p>
    <w:p>
      <w:pPr>
        <w:rPr>
          <w:color w:val="auto"/>
          <w:highlight w:val="none"/>
        </w:rPr>
      </w:pPr>
      <w:r>
        <w:rPr>
          <w:color w:val="auto"/>
          <w:highlight w:val="none"/>
        </w:rPr>
        <w:drawing>
          <wp:inline distT="0" distB="0" distL="0" distR="0">
            <wp:extent cx="5363845" cy="3512185"/>
            <wp:effectExtent l="0" t="0" r="8255" b="12065"/>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pic:cNvPicPr>
                      <a:picLocks noChangeAspect="1"/>
                    </pic:cNvPicPr>
                  </pic:nvPicPr>
                  <pic:blipFill>
                    <a:blip r:embed="rId6" cstate="print"/>
                    <a:stretch>
                      <a:fillRect/>
                    </a:stretch>
                  </pic:blipFill>
                  <pic:spPr>
                    <a:xfrm>
                      <a:off x="0" y="0"/>
                      <a:ext cx="5363845" cy="3512185"/>
                    </a:xfrm>
                    <a:prstGeom prst="rect">
                      <a:avLst/>
                    </a:prstGeom>
                    <a:noFill/>
                    <a:ln w="9525">
                      <a:noFill/>
                    </a:ln>
                  </pic:spPr>
                </pic:pic>
              </a:graphicData>
            </a:graphic>
          </wp:inline>
        </w:drawing>
      </w:r>
    </w:p>
    <w:p>
      <w:pPr>
        <w:rPr>
          <w:b/>
          <w:bCs/>
          <w:color w:val="auto"/>
          <w:highlight w:val="none"/>
        </w:rPr>
      </w:pPr>
    </w:p>
    <w:p>
      <w:pPr>
        <w:pStyle w:val="22"/>
        <w:rPr>
          <w:b/>
          <w:bCs/>
          <w:color w:val="auto"/>
          <w:highlight w:val="none"/>
        </w:rPr>
      </w:pPr>
    </w:p>
    <w:p>
      <w:pPr>
        <w:rPr>
          <w:b/>
          <w:bCs/>
          <w:color w:val="auto"/>
          <w:highlight w:val="none"/>
        </w:rPr>
      </w:pPr>
      <w:r>
        <w:rPr>
          <w:rFonts w:hint="eastAsia"/>
          <w:b/>
          <w:bCs/>
          <w:color w:val="auto"/>
          <w:highlight w:val="none"/>
        </w:rPr>
        <w:t>附图2：</w:t>
      </w:r>
    </w:p>
    <w:p>
      <w:pPr>
        <w:rPr>
          <w:color w:val="auto"/>
          <w:highlight w:val="none"/>
        </w:rPr>
      </w:pPr>
      <w:r>
        <w:rPr>
          <w:color w:val="auto"/>
          <w:highlight w:val="none"/>
        </w:rPr>
        <w:drawing>
          <wp:inline distT="0" distB="0" distL="114300" distR="114300">
            <wp:extent cx="3661410" cy="4036060"/>
            <wp:effectExtent l="0" t="0" r="15240" b="2540"/>
            <wp:docPr id="14" name="图片 14" descr="内河雷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内河雷达"/>
                    <pic:cNvPicPr>
                      <a:picLocks noChangeAspect="1"/>
                    </pic:cNvPicPr>
                  </pic:nvPicPr>
                  <pic:blipFill>
                    <a:blip r:embed="rId7" cstate="print"/>
                    <a:stretch>
                      <a:fillRect/>
                    </a:stretch>
                  </pic:blipFill>
                  <pic:spPr>
                    <a:xfrm>
                      <a:off x="0" y="0"/>
                      <a:ext cx="3661410" cy="4036060"/>
                    </a:xfrm>
                    <a:prstGeom prst="rect">
                      <a:avLst/>
                    </a:prstGeom>
                  </pic:spPr>
                </pic:pic>
              </a:graphicData>
            </a:graphic>
          </wp:inline>
        </w:drawing>
      </w:r>
    </w:p>
    <w:p>
      <w:pPr>
        <w:rPr>
          <w:color w:val="auto"/>
          <w:highlight w:val="none"/>
        </w:rPr>
      </w:pPr>
    </w:p>
    <w:p>
      <w:pPr>
        <w:rPr>
          <w:b/>
          <w:bCs/>
          <w:color w:val="auto"/>
          <w:highlight w:val="none"/>
        </w:rPr>
      </w:pPr>
      <w:r>
        <w:rPr>
          <w:rFonts w:hint="eastAsia"/>
          <w:b/>
          <w:bCs/>
          <w:color w:val="auto"/>
          <w:highlight w:val="none"/>
        </w:rPr>
        <w:t>附图3：</w:t>
      </w:r>
    </w:p>
    <w:p>
      <w:pPr>
        <w:rPr>
          <w:color w:val="auto"/>
          <w:highlight w:val="none"/>
        </w:rPr>
      </w:pPr>
      <w:r>
        <w:rPr>
          <w:rFonts w:hint="eastAsia"/>
          <w:color w:val="auto"/>
          <w:highlight w:val="none"/>
        </w:rPr>
        <w:drawing>
          <wp:inline distT="0" distB="0" distL="114300" distR="114300">
            <wp:extent cx="4965065" cy="3726815"/>
            <wp:effectExtent l="0" t="0" r="6985" b="6985"/>
            <wp:docPr id="22" name="图片 22" descr="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LOG"/>
                    <pic:cNvPicPr>
                      <a:picLocks noChangeAspect="1"/>
                    </pic:cNvPicPr>
                  </pic:nvPicPr>
                  <pic:blipFill>
                    <a:blip r:embed="rId8" cstate="print"/>
                    <a:stretch>
                      <a:fillRect/>
                    </a:stretch>
                  </pic:blipFill>
                  <pic:spPr>
                    <a:xfrm>
                      <a:off x="0" y="0"/>
                      <a:ext cx="4965065" cy="3726815"/>
                    </a:xfrm>
                    <a:prstGeom prst="rect">
                      <a:avLst/>
                    </a:prstGeom>
                  </pic:spPr>
                </pic:pic>
              </a:graphicData>
            </a:graphic>
          </wp:inline>
        </w:drawing>
      </w:r>
    </w:p>
    <w:p>
      <w:pPr>
        <w:rPr>
          <w:rFonts w:hint="eastAsia"/>
          <w:b/>
          <w:bCs/>
          <w:color w:val="auto"/>
          <w:highlight w:val="none"/>
        </w:rPr>
      </w:pPr>
    </w:p>
    <w:p>
      <w:pPr>
        <w:rPr>
          <w:b/>
          <w:bCs/>
          <w:color w:val="auto"/>
          <w:highlight w:val="none"/>
        </w:rPr>
      </w:pPr>
      <w:r>
        <w:rPr>
          <w:rFonts w:hint="eastAsia"/>
          <w:b/>
          <w:bCs/>
          <w:color w:val="auto"/>
          <w:highlight w:val="none"/>
        </w:rPr>
        <w:t>附图4：</w:t>
      </w:r>
    </w:p>
    <w:p>
      <w:pPr>
        <w:rPr>
          <w:color w:val="auto"/>
          <w:highlight w:val="none"/>
        </w:rPr>
      </w:pPr>
      <w:r>
        <w:rPr>
          <w:color w:val="auto"/>
          <w:highlight w:val="none"/>
        </w:rPr>
        <w:drawing>
          <wp:anchor distT="0" distB="0" distL="114300" distR="114300" simplePos="0" relativeHeight="251660288" behindDoc="1" locked="0" layoutInCell="1" allowOverlap="1">
            <wp:simplePos x="0" y="0"/>
            <wp:positionH relativeFrom="column">
              <wp:posOffset>210820</wp:posOffset>
            </wp:positionH>
            <wp:positionV relativeFrom="paragraph">
              <wp:posOffset>151765</wp:posOffset>
            </wp:positionV>
            <wp:extent cx="4753610" cy="3031490"/>
            <wp:effectExtent l="0" t="0" r="8890" b="16510"/>
            <wp:wrapTight wrapText="bothSides">
              <wp:wrapPolygon>
                <wp:start x="0" y="0"/>
                <wp:lineTo x="0" y="21446"/>
                <wp:lineTo x="21554" y="21446"/>
                <wp:lineTo x="21554" y="0"/>
                <wp:lineTo x="0" y="0"/>
              </wp:wrapPolygon>
            </wp:wrapTight>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cstate="print"/>
                    <a:stretch>
                      <a:fillRect/>
                    </a:stretch>
                  </pic:blipFill>
                  <pic:spPr>
                    <a:xfrm>
                      <a:off x="0" y="0"/>
                      <a:ext cx="4753610" cy="3031490"/>
                    </a:xfrm>
                    <a:prstGeom prst="rect">
                      <a:avLst/>
                    </a:prstGeom>
                    <a:noFill/>
                    <a:ln w="9525">
                      <a:noFill/>
                    </a:ln>
                  </pic:spPr>
                </pic:pic>
              </a:graphicData>
            </a:graphic>
          </wp:anchor>
        </w:drawing>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b/>
          <w:bCs/>
          <w:color w:val="auto"/>
          <w:highlight w:val="none"/>
        </w:rPr>
      </w:pPr>
    </w:p>
    <w:p>
      <w:pPr>
        <w:rPr>
          <w:b/>
          <w:bCs/>
          <w:color w:val="auto"/>
          <w:highlight w:val="none"/>
        </w:rPr>
      </w:pPr>
    </w:p>
    <w:p>
      <w:pPr>
        <w:rPr>
          <w:b/>
          <w:bCs/>
          <w:color w:val="auto"/>
          <w:highlight w:val="none"/>
        </w:rPr>
      </w:pPr>
    </w:p>
    <w:p>
      <w:pPr>
        <w:rPr>
          <w:color w:val="auto"/>
          <w:highlight w:val="none"/>
        </w:rPr>
      </w:pPr>
      <w:r>
        <w:rPr>
          <w:rFonts w:hint="eastAsia"/>
          <w:b/>
          <w:bCs/>
          <w:color w:val="auto"/>
          <w:highlight w:val="none"/>
        </w:rPr>
        <w:t>附图5</w:t>
      </w:r>
      <w:r>
        <w:rPr>
          <w:rFonts w:hint="eastAsia"/>
          <w:color w:val="auto"/>
          <w:highlight w:val="none"/>
        </w:rPr>
        <w:t>：</w:t>
      </w:r>
    </w:p>
    <w:p>
      <w:pPr>
        <w:rPr>
          <w:color w:val="auto"/>
          <w:highlight w:val="none"/>
        </w:rPr>
      </w:pPr>
      <w:r>
        <w:rPr>
          <w:color w:val="auto"/>
          <w:highlight w:val="none"/>
        </w:rPr>
        <w:drawing>
          <wp:inline distT="0" distB="0" distL="114300" distR="114300">
            <wp:extent cx="5272405" cy="4080510"/>
            <wp:effectExtent l="0" t="0" r="4445" b="15240"/>
            <wp:docPr id="15" name="图片 15" descr="G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GPS"/>
                    <pic:cNvPicPr>
                      <a:picLocks noChangeAspect="1"/>
                    </pic:cNvPicPr>
                  </pic:nvPicPr>
                  <pic:blipFill>
                    <a:blip r:embed="rId10" cstate="print"/>
                    <a:stretch>
                      <a:fillRect/>
                    </a:stretch>
                  </pic:blipFill>
                  <pic:spPr>
                    <a:xfrm>
                      <a:off x="0" y="0"/>
                      <a:ext cx="5272405" cy="4080510"/>
                    </a:xfrm>
                    <a:prstGeom prst="rect">
                      <a:avLst/>
                    </a:prstGeom>
                  </pic:spPr>
                </pic:pic>
              </a:graphicData>
            </a:graphic>
          </wp:inline>
        </w:drawing>
      </w:r>
    </w:p>
    <w:p>
      <w:pPr>
        <w:rPr>
          <w:color w:val="auto"/>
          <w:highlight w:val="none"/>
        </w:rPr>
      </w:pPr>
    </w:p>
    <w:p>
      <w:pPr>
        <w:rPr>
          <w:b/>
          <w:bCs/>
          <w:color w:val="auto"/>
          <w:highlight w:val="none"/>
        </w:rPr>
      </w:pPr>
    </w:p>
    <w:p>
      <w:pPr>
        <w:rPr>
          <w:b/>
          <w:bCs/>
          <w:color w:val="auto"/>
          <w:highlight w:val="none"/>
        </w:rPr>
      </w:pPr>
    </w:p>
    <w:p>
      <w:pPr>
        <w:rPr>
          <w:b/>
          <w:bCs/>
          <w:color w:val="auto"/>
          <w:highlight w:val="none"/>
        </w:rPr>
      </w:pPr>
      <w:r>
        <w:rPr>
          <w:rFonts w:hint="eastAsia"/>
          <w:b/>
          <w:bCs/>
          <w:color w:val="auto"/>
          <w:highlight w:val="none"/>
        </w:rPr>
        <w:t>附图6：</w:t>
      </w:r>
    </w:p>
    <w:p>
      <w:pPr>
        <w:rPr>
          <w:color w:val="auto"/>
          <w:highlight w:val="none"/>
        </w:rPr>
      </w:pPr>
      <w:r>
        <w:rPr>
          <w:color w:val="auto"/>
          <w:highlight w:val="none"/>
        </w:rPr>
        <w:drawing>
          <wp:inline distT="0" distB="0" distL="114300" distR="114300">
            <wp:extent cx="5272405" cy="3643630"/>
            <wp:effectExtent l="0" t="0" r="4445" b="13970"/>
            <wp:docPr id="16" name="图片 16" descr="A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IS1"/>
                    <pic:cNvPicPr>
                      <a:picLocks noChangeAspect="1"/>
                    </pic:cNvPicPr>
                  </pic:nvPicPr>
                  <pic:blipFill>
                    <a:blip r:embed="rId11" cstate="print"/>
                    <a:stretch>
                      <a:fillRect/>
                    </a:stretch>
                  </pic:blipFill>
                  <pic:spPr>
                    <a:xfrm>
                      <a:off x="0" y="0"/>
                      <a:ext cx="5272405" cy="3643630"/>
                    </a:xfrm>
                    <a:prstGeom prst="rect">
                      <a:avLst/>
                    </a:prstGeom>
                  </pic:spPr>
                </pic:pic>
              </a:graphicData>
            </a:graphic>
          </wp:inline>
        </w:drawing>
      </w:r>
    </w:p>
    <w:p>
      <w:pPr>
        <w:pStyle w:val="22"/>
        <w:ind w:firstLine="480"/>
        <w:rPr>
          <w:color w:val="auto"/>
          <w:highlight w:val="none"/>
        </w:rPr>
      </w:pPr>
    </w:p>
    <w:p>
      <w:pPr>
        <w:rPr>
          <w:color w:val="auto"/>
          <w:highlight w:val="none"/>
        </w:rPr>
      </w:pPr>
    </w:p>
    <w:p>
      <w:pPr>
        <w:rPr>
          <w:b/>
          <w:bCs/>
          <w:color w:val="auto"/>
          <w:highlight w:val="none"/>
        </w:rPr>
      </w:pPr>
      <w:r>
        <w:rPr>
          <w:rFonts w:hint="eastAsia"/>
          <w:b/>
          <w:bCs/>
          <w:color w:val="auto"/>
          <w:highlight w:val="none"/>
        </w:rPr>
        <w:t>附图7：</w:t>
      </w:r>
    </w:p>
    <w:p>
      <w:pPr>
        <w:rPr>
          <w:b/>
          <w:bCs/>
          <w:color w:val="auto"/>
          <w:highlight w:val="none"/>
        </w:rPr>
      </w:pPr>
      <w:r>
        <w:rPr>
          <w:color w:val="auto"/>
          <w:highlight w:val="none"/>
        </w:rPr>
        <w:drawing>
          <wp:inline distT="0" distB="0" distL="114300" distR="114300">
            <wp:extent cx="5264785" cy="3950335"/>
            <wp:effectExtent l="0" t="0" r="12065" b="12065"/>
            <wp:docPr id="17" name="图片 17" descr="A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IS2"/>
                    <pic:cNvPicPr>
                      <a:picLocks noChangeAspect="1"/>
                    </pic:cNvPicPr>
                  </pic:nvPicPr>
                  <pic:blipFill>
                    <a:blip r:embed="rId12" cstate="print"/>
                    <a:stretch>
                      <a:fillRect/>
                    </a:stretch>
                  </pic:blipFill>
                  <pic:spPr>
                    <a:xfrm>
                      <a:off x="0" y="0"/>
                      <a:ext cx="5264785" cy="3950335"/>
                    </a:xfrm>
                    <a:prstGeom prst="rect">
                      <a:avLst/>
                    </a:prstGeom>
                  </pic:spPr>
                </pic:pic>
              </a:graphicData>
            </a:graphic>
          </wp:inline>
        </w:drawing>
      </w:r>
    </w:p>
    <w:p>
      <w:pPr>
        <w:rPr>
          <w:b/>
          <w:bCs/>
          <w:color w:val="auto"/>
          <w:highlight w:val="none"/>
        </w:rPr>
      </w:pPr>
    </w:p>
    <w:p>
      <w:pPr>
        <w:rPr>
          <w:b/>
          <w:bCs/>
          <w:color w:val="auto"/>
          <w:highlight w:val="none"/>
        </w:rPr>
      </w:pPr>
      <w:r>
        <w:rPr>
          <w:rFonts w:hint="eastAsia"/>
          <w:b/>
          <w:bCs/>
          <w:color w:val="auto"/>
          <w:highlight w:val="none"/>
        </w:rPr>
        <w:t>附图8：</w:t>
      </w:r>
    </w:p>
    <w:p>
      <w:pPr>
        <w:rPr>
          <w:color w:val="auto"/>
          <w:highlight w:val="none"/>
        </w:rPr>
      </w:pPr>
      <w:r>
        <w:rPr>
          <w:color w:val="auto"/>
          <w:highlight w:val="none"/>
        </w:rPr>
        <w:drawing>
          <wp:anchor distT="0" distB="0" distL="114300" distR="114300" simplePos="0" relativeHeight="251661312" behindDoc="1" locked="0" layoutInCell="1" allowOverlap="1">
            <wp:simplePos x="0" y="0"/>
            <wp:positionH relativeFrom="column">
              <wp:posOffset>495300</wp:posOffset>
            </wp:positionH>
            <wp:positionV relativeFrom="paragraph">
              <wp:posOffset>114300</wp:posOffset>
            </wp:positionV>
            <wp:extent cx="3644900" cy="4243070"/>
            <wp:effectExtent l="0" t="0" r="12700" b="5080"/>
            <wp:wrapTight wrapText="bothSides">
              <wp:wrapPolygon>
                <wp:start x="0" y="0"/>
                <wp:lineTo x="0" y="21529"/>
                <wp:lineTo x="21449" y="21529"/>
                <wp:lineTo x="21449" y="0"/>
                <wp:lineTo x="0" y="0"/>
              </wp:wrapPolygon>
            </wp:wrapTight>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3" cstate="print"/>
                    <a:srcRect l="10511" t="8132" r="24605" b="8988"/>
                    <a:stretch>
                      <a:fillRect/>
                    </a:stretch>
                  </pic:blipFill>
                  <pic:spPr>
                    <a:xfrm>
                      <a:off x="0" y="0"/>
                      <a:ext cx="3644900" cy="4243070"/>
                    </a:xfrm>
                    <a:prstGeom prst="rect">
                      <a:avLst/>
                    </a:prstGeom>
                    <a:noFill/>
                    <a:ln w="9525">
                      <a:noFill/>
                    </a:ln>
                  </pic:spPr>
                </pic:pic>
              </a:graphicData>
            </a:graphic>
          </wp:anchor>
        </w:drawing>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2"/>
        <w:ind w:firstLine="480"/>
        <w:rPr>
          <w:color w:val="auto"/>
          <w:highlight w:val="none"/>
        </w:rPr>
      </w:pPr>
    </w:p>
    <w:p>
      <w:pPr>
        <w:pStyle w:val="17"/>
        <w:rPr>
          <w:rFonts w:hint="default"/>
          <w:color w:val="auto"/>
          <w:highlight w:val="none"/>
        </w:rPr>
      </w:pPr>
    </w:p>
    <w:p>
      <w:pPr>
        <w:pStyle w:val="17"/>
        <w:rPr>
          <w:rFonts w:hint="default"/>
          <w:color w:val="auto"/>
          <w:highlight w:val="none"/>
        </w:rPr>
      </w:pPr>
    </w:p>
    <w:p>
      <w:pPr>
        <w:rPr>
          <w:color w:val="auto"/>
          <w:highlight w:val="none"/>
        </w:rPr>
      </w:pPr>
    </w:p>
    <w:p>
      <w:pPr>
        <w:rPr>
          <w:color w:val="auto"/>
          <w:highlight w:val="none"/>
        </w:rPr>
      </w:pPr>
    </w:p>
    <w:p>
      <w:pPr>
        <w:rPr>
          <w:rFonts w:hint="eastAsia"/>
          <w:color w:val="auto"/>
          <w:highlight w:val="none"/>
        </w:rPr>
      </w:pPr>
      <w:r>
        <w:rPr>
          <w:rFonts w:hint="eastAsia"/>
          <w:b/>
          <w:bCs/>
          <w:color w:val="auto"/>
          <w:highlight w:val="none"/>
        </w:rPr>
        <w:t>附图9：</w:t>
      </w:r>
      <w:r>
        <w:rPr>
          <w:rFonts w:hint="eastAsia" w:ascii="Times New Roman" w:hAnsi="Times New Roman" w:eastAsia="宋体" w:cs="Times New Roman"/>
          <w:color w:val="auto"/>
          <w:highlight w:val="none"/>
        </w:rPr>
        <w:drawing>
          <wp:anchor distT="0" distB="0" distL="114300" distR="114300" simplePos="0" relativeHeight="251663360" behindDoc="0" locked="0" layoutInCell="1" allowOverlap="1">
            <wp:simplePos x="0" y="0"/>
            <wp:positionH relativeFrom="column">
              <wp:posOffset>-537210</wp:posOffset>
            </wp:positionH>
            <wp:positionV relativeFrom="paragraph">
              <wp:posOffset>692785</wp:posOffset>
            </wp:positionV>
            <wp:extent cx="3713480" cy="2785110"/>
            <wp:effectExtent l="0" t="0" r="15240" b="1270"/>
            <wp:wrapNone/>
            <wp:docPr id="20" name="图片 20" descr="GRO斯伯利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GRO斯伯利37"/>
                    <pic:cNvPicPr>
                      <a:picLocks noChangeAspect="1"/>
                    </pic:cNvPicPr>
                  </pic:nvPicPr>
                  <pic:blipFill>
                    <a:blip r:embed="rId14" cstate="print"/>
                    <a:stretch>
                      <a:fillRect/>
                    </a:stretch>
                  </pic:blipFill>
                  <pic:spPr>
                    <a:xfrm rot="5400000">
                      <a:off x="0" y="0"/>
                      <a:ext cx="3713480" cy="2785110"/>
                    </a:xfrm>
                    <a:prstGeom prst="rect">
                      <a:avLst/>
                    </a:prstGeom>
                  </pic:spPr>
                </pic:pic>
              </a:graphicData>
            </a:graphic>
          </wp:anchor>
        </w:drawing>
      </w:r>
    </w:p>
    <w:p>
      <w:pPr>
        <w:pStyle w:val="22"/>
        <w:rPr>
          <w:rFonts w:hint="eastAsia"/>
          <w:color w:val="auto"/>
          <w:highlight w:val="none"/>
        </w:rPr>
      </w:pPr>
    </w:p>
    <w:p>
      <w:pPr>
        <w:pStyle w:val="22"/>
        <w:rPr>
          <w:rFonts w:hint="eastAsia"/>
          <w:color w:val="auto"/>
          <w:highlight w:val="none"/>
        </w:rPr>
      </w:pPr>
    </w:p>
    <w:p>
      <w:pPr>
        <w:pStyle w:val="22"/>
        <w:rPr>
          <w:rFonts w:hint="eastAsia"/>
          <w:color w:val="auto"/>
          <w:highlight w:val="none"/>
        </w:rPr>
      </w:pPr>
    </w:p>
    <w:p>
      <w:pPr>
        <w:pStyle w:val="22"/>
        <w:rPr>
          <w:rFonts w:hint="eastAsia"/>
          <w:color w:val="auto"/>
          <w:highlight w:val="none"/>
        </w:rPr>
      </w:pPr>
      <w:r>
        <w:rPr>
          <w:rFonts w:hint="eastAsia"/>
          <w:color w:val="auto"/>
          <w:highlight w:val="none"/>
        </w:rPr>
        <w:drawing>
          <wp:anchor distT="0" distB="0" distL="114300" distR="114300" simplePos="0" relativeHeight="251664384" behindDoc="0" locked="0" layoutInCell="1" allowOverlap="1">
            <wp:simplePos x="0" y="0"/>
            <wp:positionH relativeFrom="column">
              <wp:posOffset>2787650</wp:posOffset>
            </wp:positionH>
            <wp:positionV relativeFrom="paragraph">
              <wp:posOffset>241300</wp:posOffset>
            </wp:positionV>
            <wp:extent cx="2463165" cy="2423160"/>
            <wp:effectExtent l="0" t="0" r="13335" b="15240"/>
            <wp:wrapNone/>
            <wp:docPr id="2" name="图片 2" descr="斯伯利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斯伯利37"/>
                    <pic:cNvPicPr>
                      <a:picLocks noChangeAspect="1"/>
                    </pic:cNvPicPr>
                  </pic:nvPicPr>
                  <pic:blipFill>
                    <a:blip r:embed="rId15" cstate="print"/>
                    <a:stretch>
                      <a:fillRect/>
                    </a:stretch>
                  </pic:blipFill>
                  <pic:spPr>
                    <a:xfrm>
                      <a:off x="0" y="0"/>
                      <a:ext cx="2463165" cy="2423160"/>
                    </a:xfrm>
                    <a:prstGeom prst="rect">
                      <a:avLst/>
                    </a:prstGeom>
                  </pic:spPr>
                </pic:pic>
              </a:graphicData>
            </a:graphic>
          </wp:anchor>
        </w:drawing>
      </w:r>
    </w:p>
    <w:p>
      <w:pPr>
        <w:pStyle w:val="22"/>
        <w:rPr>
          <w:rFonts w:hint="eastAsia"/>
          <w:color w:val="auto"/>
          <w:highlight w:val="none"/>
        </w:rPr>
      </w:pPr>
    </w:p>
    <w:p>
      <w:pPr>
        <w:pStyle w:val="22"/>
        <w:rPr>
          <w:rFonts w:hint="eastAsia"/>
          <w:color w:val="auto"/>
          <w:highlight w:val="none"/>
        </w:rPr>
      </w:pPr>
    </w:p>
    <w:p>
      <w:pPr>
        <w:pStyle w:val="22"/>
        <w:rPr>
          <w:rFonts w:hint="eastAsia"/>
          <w:color w:val="auto"/>
          <w:highlight w:val="none"/>
        </w:rPr>
      </w:pPr>
    </w:p>
    <w:p>
      <w:pPr>
        <w:pStyle w:val="22"/>
        <w:rPr>
          <w:rFonts w:hint="eastAsia"/>
          <w:color w:val="auto"/>
          <w:highlight w:val="none"/>
        </w:rPr>
      </w:pPr>
    </w:p>
    <w:p>
      <w:pPr>
        <w:pStyle w:val="22"/>
        <w:rPr>
          <w:rFonts w:hint="eastAsia"/>
          <w:color w:val="auto"/>
          <w:highlight w:val="none"/>
        </w:rPr>
      </w:pPr>
    </w:p>
    <w:p>
      <w:pPr>
        <w:pStyle w:val="22"/>
        <w:rPr>
          <w:rFonts w:hint="eastAsia"/>
          <w:color w:val="auto"/>
          <w:highlight w:val="none"/>
        </w:rPr>
      </w:pPr>
    </w:p>
    <w:p>
      <w:pPr>
        <w:pStyle w:val="22"/>
        <w:rPr>
          <w:rFonts w:hint="eastAsia"/>
          <w:color w:val="auto"/>
          <w:highlight w:val="none"/>
        </w:rPr>
      </w:pPr>
    </w:p>
    <w:p>
      <w:pPr>
        <w:pStyle w:val="22"/>
        <w:rPr>
          <w:rFonts w:hint="eastAsia"/>
          <w:b/>
          <w:bCs/>
          <w:color w:val="auto"/>
          <w:highlight w:val="none"/>
        </w:rPr>
      </w:pPr>
    </w:p>
    <w:p>
      <w:pPr>
        <w:rPr>
          <w:b/>
          <w:bCs/>
          <w:color w:val="auto"/>
          <w:highlight w:val="none"/>
        </w:rPr>
      </w:pPr>
    </w:p>
    <w:p>
      <w:pPr>
        <w:rPr>
          <w:b/>
          <w:bCs/>
          <w:color w:val="auto"/>
          <w:highlight w:val="none"/>
        </w:rPr>
      </w:pPr>
      <w:r>
        <w:rPr>
          <w:rFonts w:hint="eastAsia"/>
          <w:b/>
          <w:bCs/>
          <w:color w:val="auto"/>
          <w:highlight w:val="none"/>
        </w:rPr>
        <w:t>附图10：</w:t>
      </w:r>
    </w:p>
    <w:p>
      <w:pPr>
        <w:rPr>
          <w:color w:val="auto"/>
          <w:highlight w:val="none"/>
        </w:rPr>
      </w:pPr>
      <w:r>
        <w:rPr>
          <w:rFonts w:hint="eastAsia"/>
          <w:color w:val="auto"/>
          <w:highlight w:val="none"/>
        </w:rPr>
        <w:drawing>
          <wp:inline distT="0" distB="0" distL="114300" distR="114300">
            <wp:extent cx="2844165" cy="2134870"/>
            <wp:effectExtent l="0" t="0" r="13335" b="17780"/>
            <wp:docPr id="18" name="图片 18" descr="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LOG"/>
                    <pic:cNvPicPr>
                      <a:picLocks noChangeAspect="1"/>
                    </pic:cNvPicPr>
                  </pic:nvPicPr>
                  <pic:blipFill>
                    <a:blip r:embed="rId16" cstate="print"/>
                    <a:stretch>
                      <a:fillRect/>
                    </a:stretch>
                  </pic:blipFill>
                  <pic:spPr>
                    <a:xfrm>
                      <a:off x="0" y="0"/>
                      <a:ext cx="2844165" cy="2134870"/>
                    </a:xfrm>
                    <a:prstGeom prst="rect">
                      <a:avLst/>
                    </a:prstGeom>
                  </pic:spPr>
                </pic:pic>
              </a:graphicData>
            </a:graphic>
          </wp:inline>
        </w:drawing>
      </w:r>
      <w:r>
        <w:rPr>
          <w:rFonts w:hint="eastAsia"/>
          <w:color w:val="auto"/>
          <w:highlight w:val="none"/>
        </w:rPr>
        <w:drawing>
          <wp:inline distT="0" distB="0" distL="114300" distR="114300">
            <wp:extent cx="2327910" cy="1804670"/>
            <wp:effectExtent l="0" t="0" r="15240" b="5080"/>
            <wp:docPr id="19" name="图片 19" descr="测深仪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测深仪2"/>
                    <pic:cNvPicPr>
                      <a:picLocks noChangeAspect="1"/>
                    </pic:cNvPicPr>
                  </pic:nvPicPr>
                  <pic:blipFill>
                    <a:blip r:embed="rId17" cstate="print"/>
                    <a:stretch>
                      <a:fillRect/>
                    </a:stretch>
                  </pic:blipFill>
                  <pic:spPr>
                    <a:xfrm>
                      <a:off x="0" y="0"/>
                      <a:ext cx="2327910" cy="1804670"/>
                    </a:xfrm>
                    <a:prstGeom prst="rect">
                      <a:avLst/>
                    </a:prstGeom>
                  </pic:spPr>
                </pic:pic>
              </a:graphicData>
            </a:graphic>
          </wp:inline>
        </w:drawing>
      </w:r>
    </w:p>
    <w:p>
      <w:pPr>
        <w:rPr>
          <w:color w:val="auto"/>
          <w:highlight w:val="none"/>
        </w:rPr>
      </w:pPr>
    </w:p>
    <w:p>
      <w:pPr>
        <w:rPr>
          <w:b/>
          <w:bCs/>
          <w:color w:val="auto"/>
          <w:highlight w:val="none"/>
        </w:rPr>
      </w:pPr>
      <w:r>
        <w:rPr>
          <w:b/>
          <w:bCs/>
          <w:color w:val="auto"/>
          <w:highlight w:val="none"/>
        </w:rPr>
        <w:drawing>
          <wp:anchor distT="0" distB="0" distL="114300" distR="114300" simplePos="0" relativeHeight="251662336" behindDoc="0" locked="0" layoutInCell="1" allowOverlap="1">
            <wp:simplePos x="0" y="0"/>
            <wp:positionH relativeFrom="column">
              <wp:posOffset>643255</wp:posOffset>
            </wp:positionH>
            <wp:positionV relativeFrom="paragraph">
              <wp:posOffset>181610</wp:posOffset>
            </wp:positionV>
            <wp:extent cx="3933190" cy="2374265"/>
            <wp:effectExtent l="0" t="0" r="10160" b="698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cstate="print"/>
                    <a:stretch>
                      <a:fillRect/>
                    </a:stretch>
                  </pic:blipFill>
                  <pic:spPr>
                    <a:xfrm>
                      <a:off x="0" y="0"/>
                      <a:ext cx="3933190" cy="2374265"/>
                    </a:xfrm>
                    <a:prstGeom prst="rect">
                      <a:avLst/>
                    </a:prstGeom>
                    <a:noFill/>
                    <a:ln w="9525">
                      <a:noFill/>
                    </a:ln>
                  </pic:spPr>
                </pic:pic>
              </a:graphicData>
            </a:graphic>
          </wp:anchor>
        </w:drawing>
      </w:r>
      <w:r>
        <w:rPr>
          <w:rFonts w:hint="eastAsia"/>
          <w:b/>
          <w:bCs/>
          <w:color w:val="auto"/>
          <w:highlight w:val="none"/>
        </w:rPr>
        <w:t>附图11：</w:t>
      </w:r>
    </w:p>
    <w:p>
      <w:pPr>
        <w:rPr>
          <w:color w:val="auto"/>
          <w:highlight w:val="none"/>
        </w:rPr>
      </w:pPr>
    </w:p>
    <w:p>
      <w:pPr>
        <w:rPr>
          <w:color w:val="auto"/>
          <w:highlight w:val="none"/>
        </w:rPr>
      </w:pPr>
    </w:p>
    <w:p>
      <w:pPr>
        <w:rPr>
          <w:b/>
          <w:bCs/>
          <w:color w:val="auto"/>
          <w:highlight w:val="none"/>
        </w:rPr>
      </w:pPr>
    </w:p>
    <w:p>
      <w:pPr>
        <w:rPr>
          <w:b/>
          <w:bCs/>
          <w:color w:val="auto"/>
          <w:highlight w:val="none"/>
        </w:rPr>
      </w:pPr>
    </w:p>
    <w:p>
      <w:pPr>
        <w:rPr>
          <w:b/>
          <w:bCs/>
          <w:color w:val="auto"/>
          <w:highlight w:val="none"/>
        </w:rPr>
      </w:pPr>
    </w:p>
    <w:p>
      <w:pPr>
        <w:rPr>
          <w:b/>
          <w:bCs/>
          <w:color w:val="auto"/>
          <w:highlight w:val="none"/>
        </w:rPr>
      </w:pPr>
    </w:p>
    <w:p>
      <w:pPr>
        <w:rPr>
          <w:b/>
          <w:bCs/>
          <w:color w:val="auto"/>
          <w:highlight w:val="none"/>
        </w:rPr>
      </w:pPr>
    </w:p>
    <w:p>
      <w:pPr>
        <w:rPr>
          <w:b/>
          <w:bCs/>
          <w:color w:val="auto"/>
          <w:highlight w:val="none"/>
        </w:rPr>
      </w:pPr>
    </w:p>
    <w:p>
      <w:pPr>
        <w:rPr>
          <w:b/>
          <w:bCs/>
          <w:color w:val="auto"/>
          <w:highlight w:val="none"/>
        </w:rPr>
      </w:pPr>
    </w:p>
    <w:p>
      <w:pPr>
        <w:rPr>
          <w:b/>
          <w:bCs/>
          <w:color w:val="auto"/>
          <w:highlight w:val="none"/>
        </w:rPr>
      </w:pPr>
    </w:p>
    <w:p>
      <w:pPr>
        <w:rPr>
          <w:b/>
          <w:bCs/>
          <w:color w:val="auto"/>
          <w:highlight w:val="none"/>
        </w:rPr>
      </w:pPr>
    </w:p>
    <w:p>
      <w:pPr>
        <w:rPr>
          <w:b/>
          <w:bCs/>
          <w:color w:val="auto"/>
          <w:highlight w:val="none"/>
        </w:rPr>
      </w:pPr>
    </w:p>
    <w:p>
      <w:pPr>
        <w:rPr>
          <w:b/>
          <w:bCs/>
          <w:color w:val="auto"/>
          <w:highlight w:val="none"/>
        </w:rPr>
      </w:pPr>
    </w:p>
    <w:p>
      <w:pPr>
        <w:rPr>
          <w:rFonts w:eastAsiaTheme="minorEastAsia"/>
          <w:b/>
          <w:bCs/>
          <w:color w:val="auto"/>
          <w:highlight w:val="none"/>
        </w:rPr>
      </w:pPr>
      <w:r>
        <w:rPr>
          <w:rFonts w:hint="eastAsia"/>
          <w:b/>
          <w:bCs/>
          <w:color w:val="auto"/>
          <w:highlight w:val="none"/>
        </w:rPr>
        <w:t>附图12：</w:t>
      </w:r>
    </w:p>
    <w:p>
      <w:pPr>
        <w:rPr>
          <w:b/>
          <w:bCs/>
          <w:color w:val="auto"/>
          <w:highlight w:val="none"/>
        </w:rPr>
      </w:pPr>
      <w:r>
        <w:rPr>
          <w:rFonts w:hint="eastAsia"/>
          <w:b/>
          <w:bCs/>
          <w:color w:val="auto"/>
          <w:highlight w:val="none"/>
        </w:rPr>
        <w:drawing>
          <wp:inline distT="0" distB="0" distL="114300" distR="114300">
            <wp:extent cx="4196080" cy="3173730"/>
            <wp:effectExtent l="0" t="0" r="13970" b="762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19" cstate="print"/>
                    <a:stretch>
                      <a:fillRect/>
                    </a:stretch>
                  </pic:blipFill>
                  <pic:spPr>
                    <a:xfrm>
                      <a:off x="0" y="0"/>
                      <a:ext cx="4196080" cy="3173730"/>
                    </a:xfrm>
                    <a:prstGeom prst="rect">
                      <a:avLst/>
                    </a:prstGeom>
                  </pic:spPr>
                </pic:pic>
              </a:graphicData>
            </a:graphic>
          </wp:inline>
        </w:drawing>
      </w:r>
    </w:p>
    <w:p>
      <w:pPr>
        <w:rPr>
          <w:b/>
          <w:bCs/>
          <w:color w:val="auto"/>
          <w:highlight w:val="none"/>
        </w:rPr>
      </w:pPr>
      <w:r>
        <w:rPr>
          <w:rFonts w:hint="eastAsia"/>
          <w:b/>
          <w:bCs/>
          <w:color w:val="auto"/>
          <w:highlight w:val="none"/>
        </w:rPr>
        <w:t>附图13：</w:t>
      </w:r>
    </w:p>
    <w:p>
      <w:pPr>
        <w:rPr>
          <w:b/>
          <w:bCs/>
          <w:color w:val="auto"/>
          <w:highlight w:val="none"/>
        </w:rPr>
      </w:pPr>
      <w:r>
        <w:rPr>
          <w:rFonts w:hint="eastAsia"/>
          <w:b/>
          <w:bCs/>
          <w:color w:val="auto"/>
          <w:highlight w:val="none"/>
        </w:rPr>
        <w:drawing>
          <wp:inline distT="0" distB="0" distL="114300" distR="114300">
            <wp:extent cx="4829175" cy="3625850"/>
            <wp:effectExtent l="0" t="0" r="9525" b="12700"/>
            <wp:docPr id="5" name="图片 5" descr="IMG_20231208_17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31208_170054"/>
                    <pic:cNvPicPr>
                      <a:picLocks noChangeAspect="1"/>
                    </pic:cNvPicPr>
                  </pic:nvPicPr>
                  <pic:blipFill>
                    <a:blip r:embed="rId20" cstate="print"/>
                    <a:stretch>
                      <a:fillRect/>
                    </a:stretch>
                  </pic:blipFill>
                  <pic:spPr>
                    <a:xfrm>
                      <a:off x="0" y="0"/>
                      <a:ext cx="4829175" cy="3625850"/>
                    </a:xfrm>
                    <a:prstGeom prst="rect">
                      <a:avLst/>
                    </a:prstGeom>
                  </pic:spPr>
                </pic:pic>
              </a:graphicData>
            </a:graphic>
          </wp:inline>
        </w:drawing>
      </w:r>
    </w:p>
    <w:p>
      <w:pPr>
        <w:pStyle w:val="22"/>
        <w:ind w:left="0" w:leftChars="0" w:firstLine="0" w:firstLineChars="0"/>
        <w:rPr>
          <w:color w:val="auto"/>
          <w:highlight w:val="none"/>
        </w:rPr>
      </w:pPr>
    </w:p>
    <w:p>
      <w:pPr>
        <w:rPr>
          <w:b/>
          <w:bCs/>
          <w:color w:val="auto"/>
          <w:highlight w:val="none"/>
        </w:rPr>
      </w:pPr>
      <w:r>
        <w:rPr>
          <w:rFonts w:hint="eastAsia"/>
          <w:b/>
          <w:bCs/>
          <w:color w:val="auto"/>
          <w:highlight w:val="none"/>
        </w:rPr>
        <w:t>附图14：</w:t>
      </w:r>
    </w:p>
    <w:p>
      <w:pPr>
        <w:rPr>
          <w:color w:val="auto"/>
          <w:highlight w:val="none"/>
        </w:rPr>
      </w:pPr>
      <w:r>
        <w:rPr>
          <w:color w:val="auto"/>
          <w:highlight w:val="none"/>
        </w:rPr>
        <w:drawing>
          <wp:inline distT="0" distB="0" distL="0" distR="0">
            <wp:extent cx="4835525" cy="3626485"/>
            <wp:effectExtent l="0" t="0" r="3175" b="1206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835525" cy="3626485"/>
                    </a:xfrm>
                    <a:prstGeom prst="rect">
                      <a:avLst/>
                    </a:prstGeom>
                    <a:noFill/>
                    <a:ln>
                      <a:noFill/>
                    </a:ln>
                  </pic:spPr>
                </pic:pic>
              </a:graphicData>
            </a:graphic>
          </wp:inline>
        </w:drawing>
      </w:r>
    </w:p>
    <w:p>
      <w:pPr>
        <w:rPr>
          <w:b/>
          <w:bCs/>
          <w:color w:val="auto"/>
          <w:highlight w:val="none"/>
        </w:rPr>
      </w:pPr>
    </w:p>
    <w:p>
      <w:pPr>
        <w:pStyle w:val="22"/>
        <w:rPr>
          <w:color w:val="auto"/>
          <w:highlight w:val="none"/>
        </w:rPr>
      </w:pPr>
    </w:p>
    <w:p>
      <w:pPr>
        <w:rPr>
          <w:rFonts w:eastAsiaTheme="minorEastAsia"/>
          <w:b/>
          <w:bCs/>
          <w:color w:val="auto"/>
          <w:highlight w:val="none"/>
        </w:rPr>
      </w:pPr>
      <w:r>
        <w:rPr>
          <w:rFonts w:hint="eastAsia"/>
          <w:b/>
          <w:bCs/>
          <w:color w:val="auto"/>
          <w:highlight w:val="none"/>
        </w:rPr>
        <w:t>附图15：</w:t>
      </w:r>
    </w:p>
    <w:p>
      <w:pPr>
        <w:rPr>
          <w:b/>
          <w:bCs/>
          <w:color w:val="auto"/>
          <w:highlight w:val="none"/>
        </w:rPr>
      </w:pPr>
      <w:r>
        <w:rPr>
          <w:rFonts w:hint="eastAsia"/>
          <w:b/>
          <w:bCs/>
          <w:color w:val="auto"/>
          <w:highlight w:val="none"/>
        </w:rPr>
        <w:drawing>
          <wp:inline distT="0" distB="0" distL="114300" distR="114300">
            <wp:extent cx="3883660" cy="4596765"/>
            <wp:effectExtent l="0" t="0" r="2540" b="13335"/>
            <wp:docPr id="9" name="图片 9" descr="IMG_20231209_16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31209_162013"/>
                    <pic:cNvPicPr>
                      <a:picLocks noChangeAspect="1"/>
                    </pic:cNvPicPr>
                  </pic:nvPicPr>
                  <pic:blipFill>
                    <a:blip r:embed="rId22" cstate="print"/>
                    <a:stretch>
                      <a:fillRect/>
                    </a:stretch>
                  </pic:blipFill>
                  <pic:spPr>
                    <a:xfrm>
                      <a:off x="0" y="0"/>
                      <a:ext cx="3883660" cy="4596765"/>
                    </a:xfrm>
                    <a:prstGeom prst="rect">
                      <a:avLst/>
                    </a:prstGeom>
                  </pic:spPr>
                </pic:pic>
              </a:graphicData>
            </a:graphic>
          </wp:inline>
        </w:drawing>
      </w:r>
    </w:p>
    <w:p>
      <w:pPr>
        <w:rPr>
          <w:rFonts w:eastAsiaTheme="minorEastAsia"/>
          <w:b/>
          <w:bCs/>
          <w:color w:val="auto"/>
          <w:highlight w:val="none"/>
        </w:rPr>
      </w:pPr>
      <w:r>
        <w:rPr>
          <w:rFonts w:hint="eastAsia"/>
          <w:b/>
          <w:bCs/>
          <w:color w:val="auto"/>
          <w:highlight w:val="none"/>
        </w:rPr>
        <w:t>附图16</w:t>
      </w:r>
    </w:p>
    <w:p>
      <w:pPr>
        <w:rPr>
          <w:rFonts w:eastAsiaTheme="minorEastAsia"/>
          <w:color w:val="auto"/>
          <w:highlight w:val="none"/>
        </w:rPr>
      </w:pPr>
      <w:r>
        <w:rPr>
          <w:rFonts w:hint="eastAsia" w:eastAsiaTheme="minorEastAsia"/>
          <w:color w:val="auto"/>
          <w:highlight w:val="none"/>
        </w:rPr>
        <w:drawing>
          <wp:inline distT="0" distB="0" distL="114300" distR="114300">
            <wp:extent cx="4318635" cy="3239135"/>
            <wp:effectExtent l="0" t="0" r="5715" b="18415"/>
            <wp:docPr id="21" name="图片 21" descr="敞开式救生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敞开式救生艇"/>
                    <pic:cNvPicPr>
                      <a:picLocks noChangeAspect="1"/>
                    </pic:cNvPicPr>
                  </pic:nvPicPr>
                  <pic:blipFill>
                    <a:blip r:embed="rId23" cstate="print"/>
                    <a:stretch>
                      <a:fillRect/>
                    </a:stretch>
                  </pic:blipFill>
                  <pic:spPr>
                    <a:xfrm>
                      <a:off x="0" y="0"/>
                      <a:ext cx="4318635" cy="3239135"/>
                    </a:xfrm>
                    <a:prstGeom prst="rect">
                      <a:avLst/>
                    </a:prstGeom>
                  </pic:spPr>
                </pic:pic>
              </a:graphicData>
            </a:graphic>
          </wp:inline>
        </w:drawing>
      </w:r>
    </w:p>
    <w:p>
      <w:pPr>
        <w:pStyle w:val="22"/>
        <w:ind w:firstLine="480"/>
        <w:rPr>
          <w:rFonts w:eastAsiaTheme="minorEastAsia"/>
          <w:color w:val="auto"/>
          <w:highlight w:val="none"/>
        </w:rPr>
      </w:pPr>
    </w:p>
    <w:p>
      <w:pPr>
        <w:rPr>
          <w:rFonts w:ascii="仿宋" w:hAnsi="仿宋" w:eastAsia="仿宋" w:cs="仿宋"/>
          <w:b/>
          <w:bCs/>
          <w:color w:val="auto"/>
          <w:highlight w:val="none"/>
        </w:rPr>
      </w:pPr>
      <w:r>
        <w:rPr>
          <w:rFonts w:hint="eastAsia" w:ascii="仿宋" w:hAnsi="仿宋" w:eastAsia="仿宋" w:cs="仿宋"/>
          <w:b/>
          <w:bCs/>
          <w:color w:val="auto"/>
          <w:highlight w:val="none"/>
        </w:rPr>
        <w:t>附图17：</w:t>
      </w:r>
    </w:p>
    <w:p>
      <w:pPr>
        <w:rPr>
          <w:rFonts w:ascii="仿宋" w:hAnsi="仿宋" w:eastAsia="仿宋" w:cs="仿宋"/>
          <w:color w:val="auto"/>
          <w:highlight w:val="none"/>
        </w:rPr>
      </w:pPr>
      <w:r>
        <w:rPr>
          <w:rFonts w:hint="eastAsia" w:ascii="仿宋" w:hAnsi="仿宋" w:eastAsia="仿宋" w:cs="仿宋"/>
          <w:color w:val="auto"/>
          <w:highlight w:val="none"/>
        </w:rPr>
        <w:drawing>
          <wp:inline distT="0" distB="0" distL="114300" distR="114300">
            <wp:extent cx="4888230" cy="3668395"/>
            <wp:effectExtent l="0" t="0" r="7620" b="8255"/>
            <wp:docPr id="62" name="图片 62" descr="39bb470a68fb3464f1f1c2393d870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39bb470a68fb3464f1f1c2393d870e4"/>
                    <pic:cNvPicPr>
                      <a:picLocks noChangeAspect="1"/>
                    </pic:cNvPicPr>
                  </pic:nvPicPr>
                  <pic:blipFill>
                    <a:blip r:embed="rId24" cstate="print"/>
                    <a:stretch>
                      <a:fillRect/>
                    </a:stretch>
                  </pic:blipFill>
                  <pic:spPr>
                    <a:xfrm>
                      <a:off x="0" y="0"/>
                      <a:ext cx="4888230" cy="3668395"/>
                    </a:xfrm>
                    <a:prstGeom prst="rect">
                      <a:avLst/>
                    </a:prstGeom>
                  </pic:spPr>
                </pic:pic>
              </a:graphicData>
            </a:graphic>
          </wp:inline>
        </w:drawing>
      </w:r>
    </w:p>
    <w:p>
      <w:pPr>
        <w:rPr>
          <w:rFonts w:eastAsiaTheme="minorEastAsia"/>
          <w:b/>
          <w:bCs/>
          <w:color w:val="auto"/>
          <w:highlight w:val="none"/>
        </w:rPr>
      </w:pPr>
      <w:r>
        <w:rPr>
          <w:rFonts w:hint="eastAsia"/>
          <w:b/>
          <w:bCs/>
          <w:color w:val="auto"/>
          <w:highlight w:val="none"/>
        </w:rPr>
        <w:t>附图18：</w:t>
      </w:r>
    </w:p>
    <w:p>
      <w:pPr>
        <w:rPr>
          <w:color w:val="auto"/>
          <w:highlight w:val="none"/>
        </w:rPr>
      </w:pPr>
      <w:r>
        <w:rPr>
          <w:color w:val="auto"/>
          <w:highlight w:val="none"/>
        </w:rPr>
        <w:drawing>
          <wp:inline distT="0" distB="0" distL="114300" distR="114300">
            <wp:extent cx="4997450" cy="3493770"/>
            <wp:effectExtent l="0" t="0" r="12700" b="11430"/>
            <wp:docPr id="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
                    <pic:cNvPicPr>
                      <a:picLocks noChangeAspect="1"/>
                    </pic:cNvPicPr>
                  </pic:nvPicPr>
                  <pic:blipFill>
                    <a:blip r:embed="rId25" cstate="print"/>
                    <a:stretch>
                      <a:fillRect/>
                    </a:stretch>
                  </pic:blipFill>
                  <pic:spPr>
                    <a:xfrm>
                      <a:off x="0" y="0"/>
                      <a:ext cx="4997450" cy="3493770"/>
                    </a:xfrm>
                    <a:prstGeom prst="rect">
                      <a:avLst/>
                    </a:prstGeom>
                    <a:noFill/>
                    <a:ln>
                      <a:noFill/>
                    </a:ln>
                  </pic:spPr>
                </pic:pic>
              </a:graphicData>
            </a:graphic>
          </wp:inline>
        </w:drawing>
      </w:r>
    </w:p>
    <w:p>
      <w:pPr>
        <w:rPr>
          <w:color w:val="auto"/>
          <w:highlight w:val="none"/>
        </w:rPr>
      </w:pPr>
    </w:p>
    <w:p>
      <w:pPr>
        <w:rPr>
          <w:color w:val="auto"/>
          <w:highlight w:val="none"/>
        </w:rPr>
      </w:pPr>
    </w:p>
    <w:p>
      <w:pPr>
        <w:rPr>
          <w:color w:val="auto"/>
          <w:highlight w:val="none"/>
        </w:rPr>
      </w:pPr>
      <w:r>
        <w:rPr>
          <w:color w:val="auto"/>
          <w:highlight w:val="none"/>
        </w:rPr>
        <w:drawing>
          <wp:inline distT="0" distB="0" distL="114300" distR="114300">
            <wp:extent cx="4982210" cy="3879215"/>
            <wp:effectExtent l="0" t="0" r="8890" b="6985"/>
            <wp:docPr id="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
                    <pic:cNvPicPr>
                      <a:picLocks noChangeAspect="1"/>
                    </pic:cNvPicPr>
                  </pic:nvPicPr>
                  <pic:blipFill>
                    <a:blip r:embed="rId26" cstate="print"/>
                    <a:stretch>
                      <a:fillRect/>
                    </a:stretch>
                  </pic:blipFill>
                  <pic:spPr>
                    <a:xfrm>
                      <a:off x="0" y="0"/>
                      <a:ext cx="4982210" cy="3879215"/>
                    </a:xfrm>
                    <a:prstGeom prst="rect">
                      <a:avLst/>
                    </a:prstGeom>
                    <a:noFill/>
                    <a:ln>
                      <a:noFill/>
                    </a:ln>
                  </pic:spPr>
                </pic:pic>
              </a:graphicData>
            </a:graphic>
          </wp:inline>
        </w:drawing>
      </w:r>
    </w:p>
    <w:p>
      <w:pPr>
        <w:pStyle w:val="22"/>
        <w:ind w:firstLine="480"/>
        <w:rPr>
          <w:color w:val="auto"/>
          <w:highlight w:val="none"/>
        </w:rPr>
      </w:pPr>
    </w:p>
    <w:p>
      <w:pPr>
        <w:pStyle w:val="17"/>
        <w:rPr>
          <w:rFonts w:hint="default"/>
          <w:color w:val="auto"/>
          <w:highlight w:val="none"/>
        </w:rPr>
      </w:pPr>
    </w:p>
    <w:p>
      <w:pPr>
        <w:pStyle w:val="22"/>
        <w:ind w:firstLine="480"/>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rPr>
          <w:color w:val="auto"/>
          <w:highlight w:val="none"/>
        </w:rPr>
      </w:pPr>
    </w:p>
    <w:p>
      <w:pPr>
        <w:rPr>
          <w:color w:val="auto"/>
          <w:highlight w:val="none"/>
        </w:rPr>
      </w:pPr>
    </w:p>
    <w:p>
      <w:pPr>
        <w:jc w:val="center"/>
        <w:rPr>
          <w:rFonts w:ascii="仿宋_GB2312" w:hAnsi="仿宋_GB2312" w:eastAsia="仿宋_GB2312" w:cs="仿宋_GB2312"/>
          <w:b/>
          <w:bCs/>
          <w:color w:val="auto"/>
          <w:sz w:val="48"/>
          <w:szCs w:val="48"/>
          <w:highlight w:val="none"/>
        </w:rPr>
      </w:pPr>
      <w:r>
        <w:rPr>
          <w:rFonts w:hint="eastAsia" w:ascii="仿宋_GB2312" w:hAnsi="仿宋_GB2312" w:eastAsia="仿宋_GB2312" w:cs="仿宋_GB2312"/>
          <w:b/>
          <w:bCs/>
          <w:color w:val="auto"/>
          <w:sz w:val="32"/>
          <w:szCs w:val="32"/>
          <w:highlight w:val="none"/>
        </w:rPr>
        <w:t xml:space="preserve">第二包：轮机工程技术专业实训室搬迁  </w:t>
      </w:r>
      <w:r>
        <w:rPr>
          <w:rFonts w:hint="eastAsia" w:ascii="仿宋_GB2312" w:hAnsi="仿宋_GB2312" w:eastAsia="仿宋_GB2312" w:cs="仿宋_GB2312"/>
          <w:b/>
          <w:bCs/>
          <w:color w:val="auto"/>
          <w:sz w:val="48"/>
          <w:szCs w:val="48"/>
          <w:highlight w:val="none"/>
        </w:rPr>
        <w:t xml:space="preserve">   </w:t>
      </w:r>
    </w:p>
    <w:p>
      <w:pPr>
        <w:spacing w:line="360" w:lineRule="auto"/>
        <w:jc w:val="left"/>
        <w:rPr>
          <w:rFonts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一、</w:t>
      </w:r>
      <w:r>
        <w:rPr>
          <w:rFonts w:hint="eastAsia" w:ascii="仿宋_GB2312" w:hAnsi="仿宋_GB2312" w:eastAsia="仿宋_GB2312" w:cs="仿宋_GB2312"/>
          <w:b/>
          <w:bCs/>
          <w:color w:val="auto"/>
          <w:sz w:val="24"/>
          <w:szCs w:val="24"/>
          <w:highlight w:val="none"/>
        </w:rPr>
        <w:t xml:space="preserve">搬迁要求 </w:t>
      </w:r>
    </w:p>
    <w:p>
      <w:pPr>
        <w:spacing w:line="360" w:lineRule="auto"/>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搬迁要求以以实训室为单位进行拆卸、包装、运输和安装调试工作</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要求自合肥市太湖东路22号（老校区）搬迁至新桥校区（新校区）指定实训室。</w:t>
      </w:r>
      <w:r>
        <w:rPr>
          <w:rFonts w:hint="eastAsia" w:ascii="仿宋_GB2312" w:hAnsi="仿宋_GB2312" w:eastAsia="仿宋_GB2312" w:cs="仿宋_GB2312"/>
          <w:color w:val="auto"/>
          <w:sz w:val="24"/>
          <w:szCs w:val="24"/>
          <w:highlight w:val="none"/>
        </w:rPr>
        <w:t>搬迁工作含</w:t>
      </w:r>
      <w:r>
        <w:rPr>
          <w:rFonts w:hint="eastAsia" w:ascii="仿宋_GB2312" w:hAnsi="仿宋_GB2312" w:eastAsia="仿宋_GB2312" w:cs="仿宋_GB2312"/>
          <w:color w:val="auto"/>
          <w:sz w:val="24"/>
          <w:szCs w:val="24"/>
          <w:highlight w:val="none"/>
          <w:lang w:eastAsia="zh-CN"/>
        </w:rPr>
        <w:t>老校区</w:t>
      </w:r>
      <w:r>
        <w:rPr>
          <w:rFonts w:hint="eastAsia" w:ascii="仿宋_GB2312" w:hAnsi="仿宋_GB2312" w:eastAsia="仿宋_GB2312" w:cs="仿宋_GB2312"/>
          <w:color w:val="auto"/>
          <w:sz w:val="24"/>
          <w:szCs w:val="24"/>
          <w:highlight w:val="none"/>
        </w:rPr>
        <w:t>实训</w:t>
      </w:r>
      <w:r>
        <w:rPr>
          <w:rFonts w:hint="eastAsia" w:ascii="仿宋_GB2312" w:hAnsi="仿宋_GB2312" w:eastAsia="仿宋_GB2312" w:cs="仿宋_GB2312"/>
          <w:color w:val="auto"/>
          <w:sz w:val="24"/>
          <w:szCs w:val="24"/>
          <w:highlight w:val="none"/>
          <w:lang w:eastAsia="zh-CN"/>
        </w:rPr>
        <w:t>室</w:t>
      </w:r>
      <w:r>
        <w:rPr>
          <w:rFonts w:hint="eastAsia" w:ascii="仿宋_GB2312" w:hAnsi="仿宋_GB2312" w:eastAsia="仿宋_GB2312" w:cs="仿宋_GB2312"/>
          <w:color w:val="auto"/>
          <w:sz w:val="24"/>
          <w:szCs w:val="24"/>
          <w:highlight w:val="none"/>
        </w:rPr>
        <w:t>内设备拆卸、包装、运输</w:t>
      </w:r>
      <w:r>
        <w:rPr>
          <w:rFonts w:hint="eastAsia" w:ascii="仿宋_GB2312" w:hAnsi="仿宋_GB2312" w:eastAsia="仿宋_GB2312" w:cs="仿宋_GB2312"/>
          <w:color w:val="auto"/>
          <w:sz w:val="24"/>
          <w:szCs w:val="24"/>
          <w:highlight w:val="none"/>
          <w:lang w:eastAsia="zh-CN"/>
        </w:rPr>
        <w:t>、新桥校区实训室</w:t>
      </w:r>
      <w:r>
        <w:rPr>
          <w:rFonts w:hint="eastAsia" w:ascii="仿宋_GB2312" w:hAnsi="仿宋_GB2312" w:eastAsia="仿宋_GB2312" w:cs="仿宋_GB2312"/>
          <w:color w:val="auto"/>
          <w:sz w:val="24"/>
          <w:szCs w:val="24"/>
          <w:highlight w:val="none"/>
        </w:rPr>
        <w:t>强弱电</w:t>
      </w:r>
      <w:r>
        <w:rPr>
          <w:rFonts w:hint="eastAsia" w:ascii="仿宋_GB2312" w:hAnsi="仿宋_GB2312" w:eastAsia="仿宋_GB2312" w:cs="仿宋_GB2312"/>
          <w:color w:val="auto"/>
          <w:sz w:val="24"/>
          <w:szCs w:val="24"/>
          <w:highlight w:val="none"/>
          <w:lang w:eastAsia="zh-CN"/>
        </w:rPr>
        <w:t>接线以及搬迁设备在新桥校区实训室的</w:t>
      </w:r>
      <w:r>
        <w:rPr>
          <w:rFonts w:hint="eastAsia" w:ascii="仿宋_GB2312" w:hAnsi="仿宋_GB2312" w:eastAsia="仿宋_GB2312" w:cs="仿宋_GB2312"/>
          <w:color w:val="auto"/>
          <w:sz w:val="24"/>
          <w:szCs w:val="24"/>
          <w:highlight w:val="none"/>
        </w:rPr>
        <w:t>安装、调试</w:t>
      </w:r>
      <w:r>
        <w:rPr>
          <w:rFonts w:hint="eastAsia" w:ascii="仿宋_GB2312" w:hAnsi="仿宋_GB2312" w:eastAsia="仿宋_GB2312" w:cs="仿宋_GB2312"/>
          <w:color w:val="auto"/>
          <w:sz w:val="24"/>
          <w:szCs w:val="24"/>
          <w:highlight w:val="none"/>
          <w:lang w:eastAsia="zh-CN"/>
        </w:rPr>
        <w:t>和</w:t>
      </w:r>
      <w:r>
        <w:rPr>
          <w:rFonts w:hint="eastAsia" w:ascii="仿宋_GB2312" w:hAnsi="仿宋_GB2312" w:eastAsia="仿宋_GB2312" w:cs="仿宋_GB2312"/>
          <w:color w:val="auto"/>
          <w:sz w:val="24"/>
          <w:szCs w:val="24"/>
          <w:highlight w:val="none"/>
        </w:rPr>
        <w:t>设备</w:t>
      </w:r>
      <w:r>
        <w:rPr>
          <w:rFonts w:hint="eastAsia" w:ascii="仿宋_GB2312" w:hAnsi="仿宋_GB2312" w:eastAsia="仿宋_GB2312" w:cs="仿宋_GB2312"/>
          <w:color w:val="auto"/>
          <w:sz w:val="24"/>
          <w:szCs w:val="24"/>
          <w:highlight w:val="none"/>
          <w:lang w:eastAsia="zh-CN"/>
        </w:rPr>
        <w:t>正常</w:t>
      </w:r>
      <w:r>
        <w:rPr>
          <w:rFonts w:hint="eastAsia" w:ascii="仿宋_GB2312" w:hAnsi="仿宋_GB2312" w:eastAsia="仿宋_GB2312" w:cs="仿宋_GB2312"/>
          <w:color w:val="auto"/>
          <w:sz w:val="24"/>
          <w:szCs w:val="24"/>
          <w:highlight w:val="none"/>
        </w:rPr>
        <w:t>运行。要求将设备搬</w:t>
      </w:r>
      <w:r>
        <w:rPr>
          <w:rFonts w:hint="eastAsia" w:ascii="仿宋_GB2312" w:hAnsi="仿宋_GB2312" w:eastAsia="仿宋_GB2312" w:cs="仿宋_GB2312"/>
          <w:color w:val="auto"/>
          <w:sz w:val="24"/>
          <w:szCs w:val="24"/>
          <w:highlight w:val="none"/>
          <w:lang w:eastAsia="zh-CN"/>
        </w:rPr>
        <w:t>运</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z w:val="24"/>
          <w:szCs w:val="24"/>
          <w:highlight w:val="none"/>
          <w:lang w:eastAsia="zh-CN"/>
        </w:rPr>
        <w:t>新桥校区指定实训室</w:t>
      </w:r>
      <w:r>
        <w:rPr>
          <w:rFonts w:hint="eastAsia" w:ascii="仿宋_GB2312" w:hAnsi="仿宋_GB2312" w:eastAsia="仿宋_GB2312" w:cs="仿宋_GB2312"/>
          <w:color w:val="auto"/>
          <w:sz w:val="24"/>
          <w:szCs w:val="24"/>
          <w:highlight w:val="none"/>
        </w:rPr>
        <w:t>内，搬迁</w:t>
      </w:r>
      <w:r>
        <w:rPr>
          <w:rFonts w:hint="eastAsia" w:ascii="仿宋_GB2312" w:hAnsi="仿宋_GB2312" w:eastAsia="仿宋_GB2312" w:cs="仿宋_GB2312"/>
          <w:color w:val="auto"/>
          <w:sz w:val="24"/>
          <w:szCs w:val="24"/>
          <w:highlight w:val="none"/>
          <w:lang w:eastAsia="zh-CN"/>
        </w:rPr>
        <w:t>运输</w:t>
      </w:r>
      <w:r>
        <w:rPr>
          <w:rFonts w:hint="eastAsia" w:ascii="仿宋_GB2312" w:hAnsi="仿宋_GB2312" w:eastAsia="仿宋_GB2312" w:cs="仿宋_GB2312"/>
          <w:color w:val="auto"/>
          <w:sz w:val="24"/>
          <w:szCs w:val="24"/>
          <w:highlight w:val="none"/>
        </w:rPr>
        <w:t>过程中</w:t>
      </w:r>
      <w:r>
        <w:rPr>
          <w:rFonts w:hint="eastAsia" w:ascii="仿宋_GB2312" w:hAnsi="仿宋_GB2312" w:eastAsia="仿宋_GB2312" w:cs="仿宋_GB2312"/>
          <w:color w:val="auto"/>
          <w:sz w:val="24"/>
          <w:szCs w:val="24"/>
          <w:highlight w:val="none"/>
          <w:lang w:eastAsia="zh-CN"/>
        </w:rPr>
        <w:t>确保</w:t>
      </w:r>
      <w:r>
        <w:rPr>
          <w:rFonts w:hint="eastAsia" w:ascii="仿宋_GB2312" w:hAnsi="仿宋_GB2312" w:eastAsia="仿宋_GB2312" w:cs="仿宋_GB2312"/>
          <w:color w:val="auto"/>
          <w:sz w:val="24"/>
          <w:szCs w:val="24"/>
          <w:highlight w:val="none"/>
        </w:rPr>
        <w:t>设备</w:t>
      </w:r>
      <w:r>
        <w:rPr>
          <w:rFonts w:hint="eastAsia" w:ascii="仿宋_GB2312" w:hAnsi="仿宋_GB2312" w:eastAsia="仿宋_GB2312" w:cs="仿宋_GB2312"/>
          <w:color w:val="auto"/>
          <w:sz w:val="24"/>
          <w:szCs w:val="24"/>
          <w:highlight w:val="none"/>
          <w:lang w:eastAsia="zh-CN"/>
        </w:rPr>
        <w:t>的安全和</w:t>
      </w:r>
      <w:r>
        <w:rPr>
          <w:rFonts w:hint="eastAsia" w:ascii="仿宋_GB2312" w:hAnsi="仿宋_GB2312" w:eastAsia="仿宋_GB2312" w:cs="仿宋_GB2312"/>
          <w:color w:val="auto"/>
          <w:sz w:val="24"/>
          <w:szCs w:val="24"/>
          <w:highlight w:val="none"/>
        </w:rPr>
        <w:t>无损坏，搬迁</w:t>
      </w:r>
      <w:r>
        <w:rPr>
          <w:rFonts w:hint="eastAsia" w:ascii="仿宋_GB2312" w:hAnsi="仿宋_GB2312" w:eastAsia="仿宋_GB2312" w:cs="仿宋_GB2312"/>
          <w:color w:val="auto"/>
          <w:sz w:val="24"/>
          <w:szCs w:val="24"/>
          <w:highlight w:val="none"/>
          <w:lang w:eastAsia="zh-CN"/>
        </w:rPr>
        <w:t>到位</w:t>
      </w:r>
      <w:r>
        <w:rPr>
          <w:rFonts w:hint="eastAsia" w:ascii="仿宋_GB2312" w:hAnsi="仿宋_GB2312" w:eastAsia="仿宋_GB2312" w:cs="仿宋_GB2312"/>
          <w:color w:val="auto"/>
          <w:sz w:val="24"/>
          <w:szCs w:val="24"/>
          <w:highlight w:val="none"/>
        </w:rPr>
        <w:t>后的实训室恢复原有功能，能正常开展实训授课。</w:t>
      </w:r>
    </w:p>
    <w:p>
      <w:pPr>
        <w:spacing w:line="360" w:lineRule="auto"/>
        <w:ind w:firstLine="480" w:firstLineChars="200"/>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具体要求如下：</w:t>
      </w:r>
    </w:p>
    <w:p>
      <w:pPr>
        <w:spacing w:line="360" w:lineRule="auto"/>
        <w:ind w:firstLine="435"/>
        <w:rPr>
          <w:rFonts w:ascii="宋体" w:hAnsi="宋体" w:cs="宋体"/>
          <w:color w:val="auto"/>
          <w:sz w:val="24"/>
          <w:highlight w:val="none"/>
        </w:rPr>
      </w:pPr>
      <w:r>
        <w:rPr>
          <w:rFonts w:hint="eastAsia" w:ascii="仿宋_GB2312" w:hAnsi="仿宋_GB2312" w:eastAsia="仿宋_GB2312" w:cs="仿宋_GB2312"/>
          <w:color w:val="auto"/>
          <w:sz w:val="24"/>
          <w:szCs w:val="24"/>
          <w:highlight w:val="none"/>
        </w:rPr>
        <w:t>1、制定方案：搬迁服务供应商应提供详细的拆卸、搬迁及安装调试方案，制定搬迁步骤及注意事项，针对搬迁中的重点难点问题制定应急措施以及安全保障措施，</w:t>
      </w:r>
      <w:r>
        <w:rPr>
          <w:rFonts w:hint="eastAsia" w:ascii="宋体" w:hAnsi="宋体" w:cs="宋体"/>
          <w:color w:val="auto"/>
          <w:sz w:val="24"/>
          <w:highlight w:val="none"/>
        </w:rPr>
        <w:t>按照平面图组织小组成员到新址进行实际场地考察,对各</w:t>
      </w:r>
      <w:r>
        <w:rPr>
          <w:rFonts w:hint="eastAsia" w:ascii="宋体" w:hAnsi="宋体" w:cs="宋体"/>
          <w:color w:val="auto"/>
          <w:sz w:val="24"/>
          <w:highlight w:val="none"/>
          <w:lang w:eastAsia="zh-CN"/>
        </w:rPr>
        <w:t>实训</w:t>
      </w:r>
      <w:r>
        <w:rPr>
          <w:rFonts w:hint="eastAsia" w:ascii="宋体" w:hAnsi="宋体" w:cs="宋体"/>
          <w:color w:val="auto"/>
          <w:sz w:val="24"/>
          <w:highlight w:val="none"/>
        </w:rPr>
        <w:t>室新址进行迁入前实验室环境查检查情况并且进行确认用，单位有相关图纸则严格按照用户单位要求进行安装，所有方案经采购人同意后方可进场实施。</w:t>
      </w:r>
    </w:p>
    <w:p>
      <w:pPr>
        <w:spacing w:line="360" w:lineRule="auto"/>
        <w:ind w:firstLine="435"/>
        <w:rPr>
          <w:rFonts w:ascii="宋体" w:hAnsi="宋体" w:cs="宋体"/>
          <w:color w:val="auto"/>
          <w:sz w:val="24"/>
          <w:highlight w:val="none"/>
        </w:rPr>
      </w:pPr>
      <w:r>
        <w:rPr>
          <w:rFonts w:hint="eastAsia" w:ascii="仿宋_GB2312" w:hAnsi="仿宋_GB2312" w:eastAsia="仿宋_GB2312" w:cs="仿宋_GB2312"/>
          <w:color w:val="auto"/>
          <w:sz w:val="24"/>
          <w:szCs w:val="24"/>
          <w:highlight w:val="none"/>
        </w:rPr>
        <w:t>2、</w:t>
      </w:r>
      <w:r>
        <w:rPr>
          <w:rFonts w:hint="eastAsia" w:ascii="宋体" w:hAnsi="宋体" w:cs="宋体"/>
          <w:color w:val="auto"/>
          <w:sz w:val="24"/>
          <w:highlight w:val="none"/>
        </w:rPr>
        <w:t>清点核对：需搬迁的资产，在搬迁前后应仔细核对帐物，防止遗漏、丢失，由采购人负责监督，</w:t>
      </w:r>
      <w:r>
        <w:rPr>
          <w:rFonts w:hint="eastAsia" w:ascii="宋体" w:hAnsi="宋体" w:cs="宋体"/>
          <w:color w:val="auto"/>
          <w:sz w:val="24"/>
          <w:highlight w:val="none"/>
          <w:lang w:eastAsia="zh-CN"/>
        </w:rPr>
        <w:t>搬迁前中标单位</w:t>
      </w:r>
      <w:r>
        <w:rPr>
          <w:rFonts w:hint="eastAsia" w:ascii="宋体" w:hAnsi="宋体" w:cs="宋体"/>
          <w:color w:val="auto"/>
          <w:sz w:val="24"/>
          <w:highlight w:val="none"/>
        </w:rPr>
        <w:t>清点资产</w:t>
      </w:r>
      <w:r>
        <w:rPr>
          <w:rFonts w:hint="eastAsia" w:ascii="宋体" w:hAnsi="宋体" w:cs="宋体"/>
          <w:color w:val="auto"/>
          <w:sz w:val="24"/>
          <w:highlight w:val="none"/>
          <w:lang w:eastAsia="zh-CN"/>
        </w:rPr>
        <w:t>后</w:t>
      </w:r>
      <w:r>
        <w:rPr>
          <w:rFonts w:hint="eastAsia" w:ascii="宋体" w:hAnsi="宋体" w:cs="宋体"/>
          <w:color w:val="auto"/>
          <w:sz w:val="24"/>
          <w:highlight w:val="none"/>
        </w:rPr>
        <w:t>签字认可接受搬迁的资产。搬迁前应做好各方面准备，所有需搬迁设备登记备案，并在设备上做好相应标记。其中还包括仪器设备的检查：</w:t>
      </w:r>
    </w:p>
    <w:p>
      <w:pPr>
        <w:spacing w:line="360" w:lineRule="auto"/>
        <w:ind w:firstLine="435"/>
        <w:rPr>
          <w:rFonts w:ascii="宋体" w:hAnsi="宋体" w:cs="宋体"/>
          <w:color w:val="auto"/>
          <w:sz w:val="24"/>
          <w:highlight w:val="none"/>
        </w:rPr>
      </w:pPr>
      <w:r>
        <w:rPr>
          <w:rFonts w:hint="eastAsia" w:ascii="宋体" w:hAnsi="宋体" w:cs="宋体"/>
          <w:color w:val="auto"/>
          <w:sz w:val="24"/>
          <w:highlight w:val="none"/>
        </w:rPr>
        <w:t xml:space="preserve">①检验仪器设备的外观; </w:t>
      </w:r>
    </w:p>
    <w:p>
      <w:pPr>
        <w:spacing w:line="360" w:lineRule="auto"/>
        <w:ind w:firstLine="435"/>
        <w:rPr>
          <w:rFonts w:ascii="宋体" w:hAnsi="宋体" w:cs="宋体"/>
          <w:color w:val="auto"/>
          <w:sz w:val="24"/>
          <w:highlight w:val="none"/>
        </w:rPr>
      </w:pPr>
      <w:r>
        <w:rPr>
          <w:rFonts w:hint="eastAsia" w:ascii="宋体" w:hAnsi="宋体" w:cs="宋体"/>
          <w:color w:val="auto"/>
          <w:sz w:val="24"/>
          <w:highlight w:val="none"/>
        </w:rPr>
        <w:t>②确认仪器设备的技术参数、现行工作状态;</w:t>
      </w:r>
    </w:p>
    <w:p>
      <w:pPr>
        <w:spacing w:line="360" w:lineRule="auto"/>
        <w:ind w:firstLine="435"/>
        <w:rPr>
          <w:rFonts w:ascii="宋体" w:hAnsi="宋体" w:cs="宋体"/>
          <w:color w:val="auto"/>
          <w:sz w:val="24"/>
          <w:highlight w:val="none"/>
        </w:rPr>
      </w:pPr>
      <w:r>
        <w:rPr>
          <w:rFonts w:hint="eastAsia" w:ascii="宋体" w:hAnsi="宋体" w:cs="宋体"/>
          <w:color w:val="auto"/>
          <w:sz w:val="24"/>
          <w:highlight w:val="none"/>
        </w:rPr>
        <w:t>③检查仪器设备是否符合安全拆卸、搬运条件;</w:t>
      </w:r>
    </w:p>
    <w:p>
      <w:pPr>
        <w:spacing w:line="360" w:lineRule="auto"/>
        <w:ind w:firstLine="435"/>
        <w:rPr>
          <w:rFonts w:ascii="宋体" w:hAnsi="宋体" w:cs="宋体"/>
          <w:color w:val="auto"/>
          <w:sz w:val="24"/>
          <w:highlight w:val="none"/>
        </w:rPr>
      </w:pPr>
      <w:r>
        <w:rPr>
          <w:rFonts w:hint="eastAsia" w:ascii="宋体" w:hAnsi="宋体" w:cs="宋体"/>
          <w:color w:val="auto"/>
          <w:sz w:val="24"/>
          <w:highlight w:val="none"/>
        </w:rPr>
        <w:t>④检查仪器设备有无安装附件;</w:t>
      </w:r>
    </w:p>
    <w:p>
      <w:pPr>
        <w:spacing w:line="360" w:lineRule="auto"/>
        <w:ind w:firstLine="435"/>
        <w:rPr>
          <w:rFonts w:hint="eastAsia" w:ascii="宋体" w:hAnsi="宋体" w:cs="宋体"/>
          <w:color w:val="auto"/>
          <w:sz w:val="24"/>
          <w:highlight w:val="none"/>
        </w:rPr>
      </w:pPr>
      <w:r>
        <w:rPr>
          <w:rFonts w:hint="eastAsia" w:ascii="宋体" w:hAnsi="宋体" w:cs="宋体"/>
          <w:color w:val="auto"/>
          <w:sz w:val="24"/>
          <w:highlight w:val="none"/>
        </w:rPr>
        <w:t>⑤对结构复杂、专用仪器设备以及外观有破损的仪器设备进行拍照确认。具体搬迁的物品及数量见搬迁物品明细表。</w:t>
      </w:r>
    </w:p>
    <w:p>
      <w:pPr>
        <w:spacing w:line="360" w:lineRule="auto"/>
        <w:ind w:firstLine="435"/>
        <w:rPr>
          <w:rFonts w:ascii="宋体" w:hAnsi="宋体" w:cs="宋体"/>
          <w:color w:val="auto"/>
          <w:sz w:val="24"/>
          <w:highlight w:val="none"/>
        </w:rPr>
      </w:pPr>
      <w:r>
        <w:rPr>
          <w:rFonts w:hint="eastAsia" w:ascii="仿宋_GB2312" w:hAnsi="仿宋_GB2312" w:eastAsia="仿宋_GB2312" w:cs="仿宋_GB2312"/>
          <w:color w:val="auto"/>
          <w:sz w:val="24"/>
          <w:szCs w:val="24"/>
          <w:highlight w:val="none"/>
        </w:rPr>
        <w:t>3、设备拆</w:t>
      </w:r>
      <w:r>
        <w:rPr>
          <w:rFonts w:hint="eastAsia" w:ascii="仿宋_GB2312" w:hAnsi="仿宋_GB2312" w:eastAsia="仿宋_GB2312" w:cs="仿宋_GB2312"/>
          <w:color w:val="auto"/>
          <w:sz w:val="24"/>
          <w:szCs w:val="24"/>
          <w:highlight w:val="none"/>
          <w:lang w:eastAsia="zh-CN"/>
        </w:rPr>
        <w:t>卸</w:t>
      </w:r>
      <w:r>
        <w:rPr>
          <w:rFonts w:hint="eastAsia" w:ascii="仿宋_GB2312" w:hAnsi="仿宋_GB2312" w:eastAsia="仿宋_GB2312" w:cs="仿宋_GB2312"/>
          <w:color w:val="auto"/>
          <w:sz w:val="24"/>
          <w:szCs w:val="24"/>
          <w:highlight w:val="none"/>
        </w:rPr>
        <w:t>：</w:t>
      </w:r>
      <w:r>
        <w:rPr>
          <w:rFonts w:hint="eastAsia" w:ascii="宋体" w:hAnsi="宋体" w:cs="宋体"/>
          <w:color w:val="auto"/>
          <w:sz w:val="24"/>
          <w:highlight w:val="none"/>
        </w:rPr>
        <w:t>根据采购人要求，按时将需搬迁的所有设备，按照规定拆除，同时做好相应标记，分类放置。专业性、技术性强的设备拆装需要设备厂家技术人员现场指导，由成交供应商负责联系落实，并承担厂家技术人员的一切费用。所有参加施工人员均应熟悉现场安全操作区域、了解搬迁流程做到安全施工、保证仪器设备安全拆卸,封包搬运。</w:t>
      </w:r>
    </w:p>
    <w:p>
      <w:pPr>
        <w:spacing w:line="360" w:lineRule="auto"/>
        <w:ind w:firstLine="435"/>
        <w:rPr>
          <w:rFonts w:ascii="宋体" w:hAnsi="宋体" w:cs="宋体"/>
          <w:color w:val="auto"/>
          <w:sz w:val="24"/>
          <w:highlight w:val="none"/>
        </w:rPr>
      </w:pPr>
      <w:r>
        <w:rPr>
          <w:rFonts w:hint="eastAsia" w:ascii="仿宋_GB2312" w:hAnsi="仿宋_GB2312" w:eastAsia="仿宋_GB2312" w:cs="仿宋_GB2312"/>
          <w:color w:val="auto"/>
          <w:sz w:val="24"/>
          <w:szCs w:val="24"/>
          <w:highlight w:val="none"/>
        </w:rPr>
        <w:t>4、</w:t>
      </w:r>
      <w:r>
        <w:rPr>
          <w:rFonts w:hint="eastAsia" w:ascii="仿宋_GB2312" w:hAnsi="仿宋_GB2312" w:eastAsia="仿宋_GB2312" w:cs="仿宋_GB2312"/>
          <w:color w:val="auto"/>
          <w:sz w:val="24"/>
          <w:szCs w:val="24"/>
          <w:highlight w:val="none"/>
          <w:lang w:eastAsia="zh-CN"/>
        </w:rPr>
        <w:t>打包：</w:t>
      </w:r>
      <w:r>
        <w:rPr>
          <w:rFonts w:hint="eastAsia" w:ascii="宋体" w:hAnsi="宋体" w:cs="宋体"/>
          <w:color w:val="auto"/>
          <w:sz w:val="24"/>
          <w:highlight w:val="none"/>
        </w:rPr>
        <w:t>需要成交</w:t>
      </w:r>
      <w:r>
        <w:rPr>
          <w:rFonts w:hint="eastAsia" w:ascii="宋体" w:hAnsi="宋体" w:cs="宋体"/>
          <w:color w:val="auto"/>
          <w:sz w:val="24"/>
          <w:highlight w:val="none"/>
          <w:lang w:eastAsia="zh-CN"/>
        </w:rPr>
        <w:t>中标单位</w:t>
      </w:r>
      <w:r>
        <w:rPr>
          <w:rFonts w:hint="eastAsia" w:ascii="宋体" w:hAnsi="宋体" w:cs="宋体"/>
          <w:color w:val="auto"/>
          <w:sz w:val="24"/>
          <w:highlight w:val="none"/>
        </w:rPr>
        <w:t>自备包装相关材料，以实训室或系统为单位，由采购人相关实训室负责人负责监督，</w:t>
      </w:r>
      <w:r>
        <w:rPr>
          <w:rFonts w:hint="eastAsia" w:ascii="宋体" w:hAnsi="宋体" w:cs="宋体"/>
          <w:color w:val="auto"/>
          <w:sz w:val="24"/>
          <w:highlight w:val="none"/>
          <w:lang w:eastAsia="zh-CN"/>
        </w:rPr>
        <w:t>中标单位</w:t>
      </w:r>
      <w:r>
        <w:rPr>
          <w:rFonts w:hint="eastAsia" w:ascii="宋体" w:hAnsi="宋体" w:cs="宋体"/>
          <w:color w:val="auto"/>
          <w:sz w:val="24"/>
          <w:highlight w:val="none"/>
        </w:rPr>
        <w:t>进行打包并在每个包装盒外贴资产标签，清点资产进行登记。各种标识和定位标记，必须标识清晰,粘贴必须牢靠,以免因</w:t>
      </w:r>
      <w:r>
        <w:rPr>
          <w:rFonts w:hint="eastAsia" w:ascii="宋体" w:hAnsi="宋体" w:cs="宋体"/>
          <w:color w:val="auto"/>
          <w:sz w:val="24"/>
          <w:highlight w:val="none"/>
          <w:lang w:eastAsia="zh-CN"/>
        </w:rPr>
        <w:t>搬运、装卸和</w:t>
      </w:r>
      <w:r>
        <w:rPr>
          <w:rFonts w:hint="eastAsia" w:ascii="宋体" w:hAnsi="宋体" w:cs="宋体"/>
          <w:color w:val="auto"/>
          <w:sz w:val="24"/>
          <w:highlight w:val="none"/>
        </w:rPr>
        <w:t>运输等原因</w:t>
      </w:r>
      <w:r>
        <w:rPr>
          <w:rFonts w:hint="eastAsia" w:ascii="宋体" w:hAnsi="宋体" w:cs="宋体"/>
          <w:color w:val="auto"/>
          <w:sz w:val="24"/>
          <w:highlight w:val="none"/>
          <w:lang w:eastAsia="zh-CN"/>
        </w:rPr>
        <w:t>造成</w:t>
      </w:r>
      <w:r>
        <w:rPr>
          <w:rFonts w:hint="eastAsia" w:ascii="宋体" w:hAnsi="宋体" w:cs="宋体"/>
          <w:color w:val="auto"/>
          <w:sz w:val="24"/>
          <w:highlight w:val="none"/>
        </w:rPr>
        <w:t>损坏和模糊,影响安装。</w:t>
      </w:r>
    </w:p>
    <w:p>
      <w:pPr>
        <w:spacing w:line="360" w:lineRule="auto"/>
        <w:ind w:firstLine="435"/>
        <w:rPr>
          <w:color w:val="auto"/>
          <w:highlight w:val="none"/>
        </w:rPr>
      </w:pPr>
      <w:r>
        <w:rPr>
          <w:rFonts w:hint="eastAsia" w:ascii="仿宋_GB2312" w:hAnsi="仿宋_GB2312" w:eastAsia="仿宋_GB2312" w:cs="仿宋_GB2312"/>
          <w:color w:val="auto"/>
          <w:sz w:val="24"/>
          <w:szCs w:val="24"/>
          <w:highlight w:val="none"/>
        </w:rPr>
        <w:t>5、</w:t>
      </w:r>
      <w:r>
        <w:rPr>
          <w:rFonts w:hint="eastAsia" w:ascii="仿宋_GB2312" w:hAnsi="仿宋_GB2312" w:eastAsia="仿宋_GB2312" w:cs="仿宋_GB2312"/>
          <w:color w:val="auto"/>
          <w:sz w:val="24"/>
          <w:szCs w:val="24"/>
          <w:highlight w:val="none"/>
          <w:lang w:eastAsia="zh-CN"/>
        </w:rPr>
        <w:t>运输</w:t>
      </w:r>
      <w:r>
        <w:rPr>
          <w:rFonts w:hint="eastAsia" w:ascii="仿宋_GB2312" w:hAnsi="仿宋_GB2312" w:eastAsia="仿宋_GB2312" w:cs="仿宋_GB2312"/>
          <w:color w:val="auto"/>
          <w:sz w:val="24"/>
          <w:szCs w:val="24"/>
          <w:highlight w:val="none"/>
        </w:rPr>
        <w:t>：</w:t>
      </w:r>
      <w:r>
        <w:rPr>
          <w:rFonts w:hint="eastAsia" w:ascii="宋体" w:hAnsi="宋体" w:cs="宋体"/>
          <w:color w:val="auto"/>
          <w:sz w:val="24"/>
          <w:highlight w:val="none"/>
        </w:rPr>
        <w:t>搬运分物品搬运上车阶段、运输阶段、卸货搬运至指定空间（指定实训室或教室空间内）阶段，该过程由成交供应商负责。在运输过程中全程跟人[装车、卸车、摆放</w:t>
      </w:r>
      <w:r>
        <w:rPr>
          <w:rFonts w:ascii="宋体" w:hAnsi="宋体" w:cs="宋体"/>
          <w:color w:val="auto"/>
          <w:sz w:val="24"/>
          <w:highlight w:val="none"/>
        </w:rPr>
        <w:t>]</w:t>
      </w:r>
      <w:r>
        <w:rPr>
          <w:rFonts w:hint="eastAsia" w:ascii="宋体" w:hAnsi="宋体" w:cs="宋体"/>
          <w:color w:val="auto"/>
          <w:sz w:val="24"/>
          <w:highlight w:val="none"/>
        </w:rPr>
        <w:t>整个过程不离人,保证物品无损、无遗失;在搬迁运输过程中,对重要、易损的部位、物件做好防护。大型设备与</w:t>
      </w:r>
      <w:r>
        <w:rPr>
          <w:rFonts w:hint="eastAsia" w:ascii="宋体" w:hAnsi="宋体" w:cs="宋体"/>
          <w:color w:val="auto"/>
          <w:sz w:val="24"/>
          <w:highlight w:val="none"/>
          <w:lang w:eastAsia="zh-CN"/>
        </w:rPr>
        <w:t>救生艇装置</w:t>
      </w:r>
      <w:r>
        <w:rPr>
          <w:rFonts w:hint="eastAsia" w:ascii="宋体" w:hAnsi="宋体" w:cs="宋体"/>
          <w:color w:val="auto"/>
          <w:sz w:val="24"/>
          <w:highlight w:val="none"/>
        </w:rPr>
        <w:t>，应选择专用货车运输，防止运输过程中造成损伤（如有损坏按价赔偿）。</w:t>
      </w:r>
    </w:p>
    <w:p>
      <w:pPr>
        <w:spacing w:line="360" w:lineRule="auto"/>
        <w:ind w:firstLine="435"/>
        <w:rPr>
          <w:rFonts w:ascii="宋体" w:hAnsi="宋体" w:cs="宋体"/>
          <w:color w:val="auto"/>
          <w:sz w:val="24"/>
          <w:highlight w:val="none"/>
        </w:rPr>
      </w:pPr>
      <w:r>
        <w:rPr>
          <w:rFonts w:hint="eastAsia" w:ascii="仿宋_GB2312" w:hAnsi="仿宋_GB2312" w:eastAsia="仿宋_GB2312" w:cs="仿宋_GB2312"/>
          <w:color w:val="auto"/>
          <w:sz w:val="24"/>
          <w:szCs w:val="24"/>
          <w:highlight w:val="none"/>
        </w:rPr>
        <w:t>6、拆箱：</w:t>
      </w:r>
      <w:r>
        <w:rPr>
          <w:rFonts w:hint="eastAsia" w:ascii="宋体" w:hAnsi="宋体" w:cs="宋体"/>
          <w:color w:val="auto"/>
          <w:sz w:val="24"/>
          <w:highlight w:val="none"/>
        </w:rPr>
        <w:t>搬迁服务</w:t>
      </w:r>
      <w:r>
        <w:rPr>
          <w:rFonts w:hint="eastAsia" w:ascii="宋体" w:hAnsi="宋体" w:cs="宋体"/>
          <w:color w:val="auto"/>
          <w:sz w:val="24"/>
          <w:highlight w:val="none"/>
          <w:lang w:eastAsia="zh-CN"/>
        </w:rPr>
        <w:t>中标单位</w:t>
      </w:r>
      <w:r>
        <w:rPr>
          <w:rFonts w:hint="eastAsia" w:ascii="宋体" w:hAnsi="宋体" w:cs="宋体"/>
          <w:color w:val="auto"/>
          <w:sz w:val="24"/>
          <w:highlight w:val="none"/>
        </w:rPr>
        <w:t>搬迁至采购人指定地点（实训室、教室或办公室）安全运送到位，并由该区域负责人监督拆卸过程，并检查搬迁物品是否完好。拆卸仪器设备时,必须先熟悉相关图纸及设备,禁止盲目操作且须注意不得损坏设备及设施。</w:t>
      </w:r>
      <w:r>
        <w:rPr>
          <w:rFonts w:hint="eastAsia" w:ascii="宋体" w:hAnsi="宋体" w:cs="宋体"/>
          <w:color w:val="auto"/>
          <w:sz w:val="24"/>
          <w:highlight w:val="none"/>
          <w:lang w:eastAsia="zh-CN"/>
        </w:rPr>
        <w:t>中标方</w:t>
      </w:r>
      <w:r>
        <w:rPr>
          <w:rFonts w:hint="eastAsia" w:ascii="宋体" w:hAnsi="宋体" w:cs="宋体"/>
          <w:color w:val="auto"/>
          <w:sz w:val="24"/>
          <w:highlight w:val="none"/>
        </w:rPr>
        <w:t>现场应配备专职安检员，及时检查和清除不安全因素：做到文明施工，及时清理现场和废物。</w:t>
      </w:r>
    </w:p>
    <w:p>
      <w:pPr>
        <w:spacing w:line="360" w:lineRule="auto"/>
        <w:ind w:firstLine="480" w:firstLineChars="200"/>
        <w:jc w:val="left"/>
        <w:rPr>
          <w:rFonts w:ascii="仿宋_GB2312" w:hAnsi="仿宋_GB2312" w:eastAsia="仿宋_GB2312" w:cs="仿宋_GB2312"/>
          <w:color w:val="auto"/>
          <w:sz w:val="24"/>
          <w:szCs w:val="24"/>
          <w:highlight w:val="none"/>
        </w:rPr>
      </w:pPr>
      <w:r>
        <w:rPr>
          <w:rFonts w:hint="eastAsia" w:ascii="宋体" w:hAnsi="宋体" w:cs="宋体"/>
          <w:color w:val="auto"/>
          <w:sz w:val="24"/>
          <w:highlight w:val="none"/>
        </w:rPr>
        <w:t>7</w:t>
      </w:r>
      <w:r>
        <w:rPr>
          <w:rFonts w:hint="eastAsia" w:ascii="宋体" w:hAnsi="宋体" w:cs="宋体"/>
          <w:color w:val="auto"/>
          <w:sz w:val="24"/>
          <w:highlight w:val="none"/>
          <w:lang w:eastAsia="zh-CN"/>
        </w:rPr>
        <w:t>、</w:t>
      </w:r>
      <w:r>
        <w:rPr>
          <w:rFonts w:ascii="宋体" w:hAnsi="宋体" w:cs="宋体"/>
          <w:color w:val="auto"/>
          <w:sz w:val="24"/>
          <w:highlight w:val="none"/>
        </w:rPr>
        <w:t>超</w:t>
      </w:r>
      <w:r>
        <w:rPr>
          <w:rFonts w:hint="eastAsia" w:ascii="宋体" w:hAnsi="宋体" w:cs="宋体"/>
          <w:color w:val="auto"/>
          <w:sz w:val="24"/>
          <w:highlight w:val="none"/>
          <w:lang w:eastAsia="zh-CN"/>
        </w:rPr>
        <w:t>长超</w:t>
      </w:r>
      <w:r>
        <w:rPr>
          <w:rFonts w:ascii="宋体" w:hAnsi="宋体" w:cs="宋体"/>
          <w:color w:val="auto"/>
          <w:sz w:val="24"/>
          <w:highlight w:val="none"/>
        </w:rPr>
        <w:t>重物品</w:t>
      </w:r>
      <w:r>
        <w:rPr>
          <w:rFonts w:hint="eastAsia" w:ascii="宋体" w:hAnsi="宋体" w:cs="宋体"/>
          <w:color w:val="auto"/>
          <w:sz w:val="24"/>
          <w:highlight w:val="none"/>
          <w:lang w:eastAsia="zh-CN"/>
        </w:rPr>
        <w:t>：</w:t>
      </w:r>
      <w:r>
        <w:rPr>
          <w:rFonts w:ascii="宋体" w:hAnsi="宋体" w:cs="宋体"/>
          <w:color w:val="auto"/>
          <w:sz w:val="24"/>
          <w:highlight w:val="none"/>
        </w:rPr>
        <w:t>要合理安排运输卡车的空间,搬迁完成后,留下专人,负责检查，实验室是否有应搬而未搬的物品、淘汰桌、柜中是否清空等,打扫好原实验室卫生,关好门窗、水电。</w:t>
      </w:r>
    </w:p>
    <w:p>
      <w:pPr>
        <w:spacing w:line="360" w:lineRule="auto"/>
        <w:ind w:firstLine="240" w:firstLineChars="100"/>
        <w:rPr>
          <w:rFonts w:ascii="宋体" w:hAnsi="宋体" w:cs="宋体"/>
          <w:color w:val="auto"/>
          <w:sz w:val="24"/>
          <w:highlight w:val="none"/>
        </w:rPr>
      </w:pP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w:t>
      </w:r>
      <w:r>
        <w:rPr>
          <w:rFonts w:hint="eastAsia" w:ascii="宋体" w:hAnsi="宋体" w:cs="宋体"/>
          <w:color w:val="auto"/>
          <w:sz w:val="24"/>
          <w:highlight w:val="none"/>
        </w:rPr>
        <w:t>搬迁过程</w:t>
      </w:r>
      <w:r>
        <w:rPr>
          <w:rFonts w:hint="eastAsia" w:ascii="宋体" w:hAnsi="宋体" w:cs="宋体"/>
          <w:color w:val="auto"/>
          <w:sz w:val="24"/>
          <w:highlight w:val="none"/>
          <w:lang w:eastAsia="zh-CN"/>
        </w:rPr>
        <w:t>：</w:t>
      </w:r>
      <w:r>
        <w:rPr>
          <w:rFonts w:hint="eastAsia" w:ascii="宋体" w:hAnsi="宋体" w:cs="宋体"/>
          <w:color w:val="auto"/>
          <w:sz w:val="24"/>
          <w:highlight w:val="none"/>
        </w:rPr>
        <w:t>应爱护迁出和迁入房舍的环境及基础设施，避免磕碰损坏，组织做好所搬迁的仪器设备、物品等的登记、编号、交接、清点等工作，有序搬迁，确保仪器、设备、物品等及时清点就位，不得损坏和丢失，若有损坏和丢失的按原价值赔偿。</w:t>
      </w:r>
      <w:r>
        <w:rPr>
          <w:rFonts w:hint="eastAsia" w:ascii="宋体" w:hAnsi="宋体" w:cs="宋体"/>
          <w:color w:val="auto"/>
          <w:sz w:val="24"/>
          <w:highlight w:val="none"/>
          <w:lang w:eastAsia="zh-CN"/>
        </w:rPr>
        <w:t>中标单位</w:t>
      </w:r>
      <w:r>
        <w:rPr>
          <w:rFonts w:hint="eastAsia" w:ascii="宋体" w:hAnsi="宋体" w:cs="宋体"/>
          <w:color w:val="auto"/>
          <w:sz w:val="24"/>
          <w:highlight w:val="none"/>
        </w:rPr>
        <w:t xml:space="preserve">针对需搬迁实训室或系统应配有相应的专业技术人员进行设备的拆卸、搬运、安装及调试，保证所有搬迁的仪器设备安全、无损伤地安装到位。 </w:t>
      </w:r>
    </w:p>
    <w:p>
      <w:pPr>
        <w:spacing w:line="360" w:lineRule="auto"/>
        <w:ind w:firstLine="480" w:firstLineChars="200"/>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设备安装：</w:t>
      </w:r>
      <w:r>
        <w:rPr>
          <w:rFonts w:hint="eastAsia" w:ascii="仿宋_GB2312" w:hAnsi="仿宋_GB2312" w:eastAsia="仿宋_GB2312" w:cs="仿宋_GB2312"/>
          <w:color w:val="auto"/>
          <w:sz w:val="24"/>
          <w:szCs w:val="24"/>
          <w:highlight w:val="none"/>
        </w:rPr>
        <w:t>仪器设备</w:t>
      </w:r>
      <w:r>
        <w:rPr>
          <w:rFonts w:hint="eastAsia" w:ascii="仿宋_GB2312" w:hAnsi="仿宋_GB2312" w:eastAsia="仿宋_GB2312" w:cs="仿宋_GB2312"/>
          <w:color w:val="auto"/>
          <w:sz w:val="24"/>
          <w:szCs w:val="24"/>
          <w:highlight w:val="none"/>
          <w:lang w:eastAsia="zh-CN"/>
        </w:rPr>
        <w:t>搬运至新桥校区</w:t>
      </w:r>
      <w:r>
        <w:rPr>
          <w:rFonts w:hint="eastAsia" w:ascii="仿宋_GB2312" w:hAnsi="仿宋_GB2312" w:eastAsia="仿宋_GB2312" w:cs="仿宋_GB2312"/>
          <w:color w:val="auto"/>
          <w:sz w:val="24"/>
          <w:szCs w:val="24"/>
          <w:highlight w:val="none"/>
        </w:rPr>
        <w:t>到位后，应进行全面检查、调试，各类仪器设备完好无损，仪器设备性能、精度与搬迁前的标准要求一样，恢复原有实训室使用功能。专业设备拆卸运输及安装应由成</w:t>
      </w:r>
      <w:r>
        <w:rPr>
          <w:rFonts w:hint="eastAsia" w:ascii="仿宋_GB2312" w:hAnsi="仿宋_GB2312" w:eastAsia="仿宋_GB2312" w:cs="仿宋_GB2312"/>
          <w:color w:val="auto"/>
          <w:sz w:val="24"/>
          <w:szCs w:val="24"/>
          <w:highlight w:val="none"/>
          <w:lang w:eastAsia="zh-CN"/>
        </w:rPr>
        <w:t>中标单位</w:t>
      </w:r>
      <w:r>
        <w:rPr>
          <w:rFonts w:hint="eastAsia" w:ascii="仿宋_GB2312" w:hAnsi="仿宋_GB2312" w:eastAsia="仿宋_GB2312" w:cs="仿宋_GB2312"/>
          <w:color w:val="auto"/>
          <w:sz w:val="24"/>
          <w:szCs w:val="24"/>
          <w:highlight w:val="none"/>
        </w:rPr>
        <w:t>指定的专业人员完成，重新安装的各类教学设备的各项功能、性能、精度应</w:t>
      </w:r>
      <w:r>
        <w:rPr>
          <w:rFonts w:hint="eastAsia" w:ascii="仿宋_GB2312" w:hAnsi="仿宋_GB2312" w:eastAsia="仿宋_GB2312" w:cs="仿宋_GB2312"/>
          <w:color w:val="auto"/>
          <w:sz w:val="24"/>
          <w:szCs w:val="24"/>
          <w:highlight w:val="none"/>
          <w:lang w:eastAsia="zh-CN"/>
        </w:rPr>
        <w:t>与</w:t>
      </w:r>
      <w:r>
        <w:rPr>
          <w:rFonts w:hint="eastAsia" w:ascii="仿宋_GB2312" w:hAnsi="仿宋_GB2312" w:eastAsia="仿宋_GB2312" w:cs="仿宋_GB2312"/>
          <w:color w:val="auto"/>
          <w:sz w:val="24"/>
          <w:szCs w:val="24"/>
          <w:highlight w:val="none"/>
        </w:rPr>
        <w:t>拆除前的</w:t>
      </w:r>
      <w:r>
        <w:rPr>
          <w:rFonts w:hint="eastAsia" w:ascii="仿宋_GB2312" w:hAnsi="仿宋_GB2312" w:eastAsia="仿宋_GB2312" w:cs="仿宋_GB2312"/>
          <w:color w:val="auto"/>
          <w:sz w:val="24"/>
          <w:szCs w:val="24"/>
          <w:highlight w:val="none"/>
          <w:lang w:eastAsia="zh-CN"/>
        </w:rPr>
        <w:t>各项设备功能相同</w:t>
      </w:r>
      <w:r>
        <w:rPr>
          <w:rFonts w:hint="eastAsia" w:ascii="仿宋_GB2312" w:hAnsi="仿宋_GB2312" w:eastAsia="仿宋_GB2312" w:cs="仿宋_GB2312"/>
          <w:color w:val="auto"/>
          <w:sz w:val="24"/>
          <w:szCs w:val="24"/>
          <w:highlight w:val="none"/>
        </w:rPr>
        <w:t>确保搬迁结束后设备功能正常，与搬迁前一致。</w:t>
      </w:r>
    </w:p>
    <w:p>
      <w:pPr>
        <w:spacing w:line="360" w:lineRule="auto"/>
        <w:ind w:firstLine="435"/>
        <w:rPr>
          <w:rFonts w:ascii="宋体" w:hAnsi="宋体" w:cs="宋体"/>
          <w:color w:val="auto"/>
          <w:sz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0</w:t>
      </w:r>
      <w:r>
        <w:rPr>
          <w:rFonts w:hint="eastAsia" w:ascii="仿宋_GB2312" w:hAnsi="仿宋_GB2312" w:eastAsia="仿宋_GB2312" w:cs="仿宋_GB2312"/>
          <w:color w:val="auto"/>
          <w:sz w:val="24"/>
          <w:szCs w:val="24"/>
          <w:highlight w:val="none"/>
        </w:rPr>
        <w:t>、</w:t>
      </w:r>
      <w:r>
        <w:rPr>
          <w:rFonts w:hint="eastAsia" w:ascii="宋体" w:hAnsi="宋体" w:cs="宋体"/>
          <w:color w:val="auto"/>
          <w:sz w:val="24"/>
          <w:highlight w:val="none"/>
        </w:rPr>
        <w:t>验收</w:t>
      </w:r>
      <w:r>
        <w:rPr>
          <w:rFonts w:hint="eastAsia" w:ascii="宋体" w:hAnsi="宋体" w:cs="宋体"/>
          <w:color w:val="auto"/>
          <w:sz w:val="24"/>
          <w:highlight w:val="none"/>
          <w:lang w:eastAsia="zh-CN"/>
        </w:rPr>
        <w:t>要求</w:t>
      </w:r>
      <w:r>
        <w:rPr>
          <w:rFonts w:hint="eastAsia" w:ascii="宋体" w:hAnsi="宋体" w:cs="宋体"/>
          <w:color w:val="auto"/>
          <w:sz w:val="24"/>
          <w:highlight w:val="none"/>
        </w:rPr>
        <w:t>：所有仪器设备、重型设备、专业设备及系统、配套设施、实训设备设施、资料等应按照要求搬迁到位和安装调试，且所有电子设备通电后能正常工作，软件需按要求安装调试并交付使用；所有搬迁仪器设备及物品没有损坏、丢失，仪器设备性能、精度没有降低；搬迁后各实训室必须回复到原有功能状态。</w:t>
      </w:r>
    </w:p>
    <w:p>
      <w:pPr>
        <w:spacing w:line="360" w:lineRule="auto"/>
        <w:ind w:firstLine="480" w:firstLineChars="200"/>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中标单位</w:t>
      </w:r>
      <w:r>
        <w:rPr>
          <w:rFonts w:hint="eastAsia" w:ascii="仿宋_GB2312" w:hAnsi="仿宋_GB2312" w:eastAsia="仿宋_GB2312" w:cs="仿宋_GB2312"/>
          <w:color w:val="auto"/>
          <w:sz w:val="24"/>
          <w:szCs w:val="24"/>
          <w:highlight w:val="none"/>
        </w:rPr>
        <w:t>在项目实施</w:t>
      </w:r>
      <w:r>
        <w:rPr>
          <w:rFonts w:hint="eastAsia" w:ascii="仿宋_GB2312" w:hAnsi="仿宋_GB2312" w:eastAsia="仿宋_GB2312" w:cs="仿宋_GB2312"/>
          <w:color w:val="auto"/>
          <w:sz w:val="24"/>
          <w:szCs w:val="24"/>
          <w:highlight w:val="none"/>
          <w:lang w:eastAsia="zh-CN"/>
        </w:rPr>
        <w:t>前</w:t>
      </w:r>
      <w:r>
        <w:rPr>
          <w:rFonts w:hint="eastAsia" w:ascii="仿宋_GB2312" w:hAnsi="仿宋_GB2312" w:eastAsia="仿宋_GB2312" w:cs="仿宋_GB2312"/>
          <w:color w:val="auto"/>
          <w:sz w:val="24"/>
          <w:szCs w:val="24"/>
          <w:highlight w:val="none"/>
        </w:rPr>
        <w:t>应做好足够的安全防范措施，按安全规范操作，为相关人员和第三方购买人身保险，特种作业人员应由搬迁服务供应商审核其作业资质。若出现安全事故，所有责任由</w:t>
      </w:r>
      <w:r>
        <w:rPr>
          <w:rFonts w:hint="eastAsia" w:ascii="仿宋_GB2312" w:hAnsi="仿宋_GB2312" w:eastAsia="仿宋_GB2312" w:cs="仿宋_GB2312"/>
          <w:color w:val="auto"/>
          <w:sz w:val="24"/>
          <w:szCs w:val="24"/>
          <w:highlight w:val="none"/>
          <w:lang w:eastAsia="zh-CN"/>
        </w:rPr>
        <w:t>中标单位</w:t>
      </w:r>
      <w:r>
        <w:rPr>
          <w:rFonts w:hint="eastAsia" w:ascii="仿宋_GB2312" w:hAnsi="仿宋_GB2312" w:eastAsia="仿宋_GB2312" w:cs="仿宋_GB2312"/>
          <w:color w:val="auto"/>
          <w:sz w:val="24"/>
          <w:szCs w:val="24"/>
          <w:highlight w:val="none"/>
        </w:rPr>
        <w:t>负责。</w:t>
      </w:r>
    </w:p>
    <w:p>
      <w:pPr>
        <w:spacing w:line="360" w:lineRule="auto"/>
        <w:ind w:firstLine="435"/>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2</w:t>
      </w:r>
      <w:r>
        <w:rPr>
          <w:rFonts w:hint="eastAsia" w:ascii="宋体" w:hAnsi="宋体" w:cs="宋体"/>
          <w:color w:val="auto"/>
          <w:sz w:val="24"/>
          <w:highlight w:val="none"/>
          <w:lang w:eastAsia="zh-CN"/>
        </w:rPr>
        <w:t>、</w:t>
      </w:r>
      <w:r>
        <w:rPr>
          <w:rFonts w:hint="eastAsia" w:ascii="宋体" w:hAnsi="宋体" w:cs="宋体"/>
          <w:color w:val="auto"/>
          <w:sz w:val="24"/>
          <w:highlight w:val="none"/>
        </w:rPr>
        <w:t>除了重大灾害等不可抗力或采购人另有要求并书面同意可以延期，</w:t>
      </w:r>
      <w:r>
        <w:rPr>
          <w:rFonts w:hint="eastAsia" w:ascii="宋体" w:hAnsi="宋体" w:cs="宋体"/>
          <w:color w:val="auto"/>
          <w:sz w:val="24"/>
          <w:highlight w:val="none"/>
          <w:lang w:eastAsia="zh-CN"/>
        </w:rPr>
        <w:t>中标单位</w:t>
      </w:r>
      <w:r>
        <w:rPr>
          <w:rFonts w:hint="eastAsia" w:ascii="宋体" w:hAnsi="宋体" w:cs="宋体"/>
          <w:color w:val="auto"/>
          <w:sz w:val="24"/>
          <w:highlight w:val="none"/>
        </w:rPr>
        <w:t xml:space="preserve">必须在规定期限内按工程量清单及要求按期完工。 </w:t>
      </w:r>
    </w:p>
    <w:p>
      <w:pPr>
        <w:spacing w:line="360" w:lineRule="auto"/>
        <w:ind w:firstLine="435"/>
        <w:rPr>
          <w:rFonts w:ascii="仿宋_GB2312" w:hAnsi="仿宋_GB2312" w:eastAsia="仿宋_GB2312" w:cs="仿宋_GB2312"/>
          <w:color w:val="auto"/>
          <w:sz w:val="24"/>
          <w:szCs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3、</w:t>
      </w:r>
      <w:r>
        <w:rPr>
          <w:rFonts w:hint="eastAsia" w:ascii="仿宋_GB2312" w:hAnsi="仿宋_GB2312" w:eastAsia="仿宋_GB2312" w:cs="仿宋_GB2312"/>
          <w:color w:val="auto"/>
          <w:sz w:val="24"/>
          <w:szCs w:val="24"/>
          <w:highlight w:val="none"/>
        </w:rPr>
        <w:t>具体搬迁</w:t>
      </w:r>
      <w:r>
        <w:rPr>
          <w:rFonts w:hint="eastAsia" w:ascii="仿宋_GB2312" w:hAnsi="仿宋_GB2312" w:eastAsia="仿宋_GB2312" w:cs="仿宋_GB2312"/>
          <w:color w:val="auto"/>
          <w:sz w:val="24"/>
          <w:szCs w:val="24"/>
          <w:highlight w:val="none"/>
          <w:lang w:eastAsia="zh-CN"/>
        </w:rPr>
        <w:t>内容、</w:t>
      </w:r>
      <w:r>
        <w:rPr>
          <w:rFonts w:hint="eastAsia" w:ascii="仿宋_GB2312" w:hAnsi="仿宋_GB2312" w:eastAsia="仿宋_GB2312" w:cs="仿宋_GB2312"/>
          <w:color w:val="auto"/>
          <w:sz w:val="24"/>
          <w:szCs w:val="24"/>
          <w:highlight w:val="none"/>
        </w:rPr>
        <w:t>数量</w:t>
      </w:r>
      <w:r>
        <w:rPr>
          <w:rFonts w:ascii="宋体" w:hAnsi="宋体" w:cs="宋体"/>
          <w:color w:val="auto"/>
          <w:sz w:val="24"/>
          <w:highlight w:val="none"/>
        </w:rPr>
        <w:t>及具体要求等见</w:t>
      </w:r>
      <w:r>
        <w:rPr>
          <w:rFonts w:hint="eastAsia" w:ascii="仿宋_GB2312" w:hAnsi="仿宋_GB2312" w:eastAsia="仿宋_GB2312" w:cs="仿宋_GB2312"/>
          <w:color w:val="auto"/>
          <w:sz w:val="24"/>
          <w:szCs w:val="24"/>
          <w:highlight w:val="none"/>
          <w:lang w:eastAsia="zh-CN"/>
        </w:rPr>
        <w:t>下方</w:t>
      </w:r>
      <w:r>
        <w:rPr>
          <w:rFonts w:hint="eastAsia" w:ascii="仿宋_GB2312" w:hAnsi="仿宋_GB2312" w:eastAsia="仿宋_GB2312" w:cs="仿宋_GB2312"/>
          <w:color w:val="auto"/>
          <w:sz w:val="24"/>
          <w:szCs w:val="24"/>
          <w:highlight w:val="none"/>
        </w:rPr>
        <w:t>各实训室明细表。</w:t>
      </w:r>
    </w:p>
    <w:p>
      <w:pPr>
        <w:spacing w:line="360" w:lineRule="auto"/>
        <w:ind w:firstLine="435"/>
        <w:rPr>
          <w:rFonts w:ascii="宋体" w:hAnsi="宋体" w:cs="宋体"/>
          <w:color w:val="auto"/>
          <w:sz w:val="24"/>
          <w:highlight w:val="none"/>
        </w:rPr>
      </w:pPr>
      <w:r>
        <w:rPr>
          <w:rFonts w:hint="eastAsia" w:ascii="宋体" w:hAnsi="宋体" w:cs="宋体"/>
          <w:color w:val="auto"/>
          <w:sz w:val="24"/>
          <w:highlight w:val="none"/>
          <w:lang w:val="en-US" w:eastAsia="zh-CN"/>
        </w:rPr>
        <w:t>14、</w:t>
      </w:r>
      <w:r>
        <w:rPr>
          <w:rFonts w:hint="eastAsia" w:ascii="宋体" w:hAnsi="宋体" w:cs="宋体"/>
          <w:color w:val="auto"/>
          <w:sz w:val="24"/>
          <w:highlight w:val="none"/>
        </w:rPr>
        <w:t>自搬迁开始之日起至所有设备搬迁到位验收之日止，所有搬迁设备的安全由中标单位负责。</w:t>
      </w:r>
    </w:p>
    <w:p>
      <w:pPr>
        <w:spacing w:line="360" w:lineRule="auto"/>
        <w:ind w:firstLine="435"/>
        <w:rPr>
          <w:rFonts w:hint="eastAsia" w:ascii="宋体" w:hAnsi="宋体" w:cs="宋体"/>
          <w:b/>
          <w:bCs/>
          <w:color w:val="auto"/>
          <w:sz w:val="24"/>
          <w:highlight w:val="none"/>
        </w:rPr>
      </w:pP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val="en-US" w:eastAsia="zh-CN"/>
        </w:rPr>
        <w:t>15</w:t>
      </w:r>
      <w:r>
        <w:rPr>
          <w:rFonts w:hint="eastAsia" w:ascii="宋体" w:hAnsi="宋体" w:cs="宋体"/>
          <w:b/>
          <w:bCs/>
          <w:color w:val="auto"/>
          <w:sz w:val="24"/>
          <w:highlight w:val="none"/>
        </w:rPr>
        <w:t>.</w:t>
      </w:r>
      <w:r>
        <w:rPr>
          <w:rFonts w:ascii="宋体" w:hAnsi="宋体" w:cs="宋体"/>
          <w:b/>
          <w:bCs/>
          <w:color w:val="auto"/>
          <w:sz w:val="24"/>
          <w:highlight w:val="none"/>
        </w:rPr>
        <w:t>搬迁</w:t>
      </w:r>
      <w:r>
        <w:rPr>
          <w:rFonts w:hint="eastAsia" w:ascii="宋体" w:hAnsi="宋体" w:cs="宋体"/>
          <w:b/>
          <w:bCs/>
          <w:color w:val="auto"/>
          <w:sz w:val="24"/>
          <w:highlight w:val="none"/>
        </w:rPr>
        <w:t>前需对此次搬迁采购需求设备清单中</w:t>
      </w:r>
      <w:r>
        <w:rPr>
          <w:rFonts w:hint="eastAsia" w:ascii="宋体" w:hAnsi="宋体" w:cs="宋体"/>
          <w:b/>
          <w:bCs/>
          <w:color w:val="auto"/>
          <w:sz w:val="24"/>
          <w:highlight w:val="none"/>
          <w:lang w:val="en-US" w:eastAsia="zh-CN"/>
        </w:rPr>
        <w:t>标</w:t>
      </w:r>
      <w:r>
        <w:rPr>
          <w:rFonts w:hint="eastAsia" w:ascii="宋体" w:hAnsi="宋体" w:cs="宋体"/>
          <w:b/>
          <w:bCs/>
          <w:color w:val="auto"/>
          <w:sz w:val="24"/>
          <w:highlight w:val="none"/>
          <w:lang w:eastAsia="zh-CN"/>
        </w:rPr>
        <w:t>“</w:t>
      </w:r>
      <w:r>
        <w:rPr>
          <w:rFonts w:hint="eastAsia" w:ascii="宋体" w:hAnsi="宋体" w:eastAsia="宋体" w:cs="宋体"/>
          <w:color w:val="auto"/>
          <w:sz w:val="21"/>
          <w:szCs w:val="21"/>
          <w:highlight w:val="none"/>
          <w:lang w:eastAsia="zh-CN"/>
        </w:rPr>
        <w:t>■</w:t>
      </w:r>
      <w:r>
        <w:rPr>
          <w:rFonts w:hint="eastAsia" w:ascii="宋体" w:hAnsi="宋体" w:cs="宋体"/>
          <w:b/>
          <w:bCs/>
          <w:color w:val="auto"/>
          <w:sz w:val="24"/>
          <w:highlight w:val="none"/>
          <w:lang w:eastAsia="zh-CN"/>
        </w:rPr>
        <w:t>”</w:t>
      </w:r>
      <w:r>
        <w:rPr>
          <w:rFonts w:hint="eastAsia" w:ascii="宋体" w:hAnsi="宋体" w:cs="宋体"/>
          <w:b/>
          <w:bCs/>
          <w:color w:val="auto"/>
          <w:sz w:val="24"/>
          <w:highlight w:val="none"/>
          <w:lang w:val="en-US" w:eastAsia="zh-CN"/>
        </w:rPr>
        <w:t>项</w:t>
      </w:r>
      <w:r>
        <w:rPr>
          <w:rFonts w:hint="eastAsia" w:ascii="宋体" w:hAnsi="宋体" w:cs="宋体"/>
          <w:b/>
          <w:bCs/>
          <w:color w:val="auto"/>
          <w:sz w:val="24"/>
          <w:highlight w:val="none"/>
        </w:rPr>
        <w:t>设备和参与搬迁的人员购买保险</w:t>
      </w:r>
      <w:r>
        <w:rPr>
          <w:rFonts w:hint="eastAsia" w:ascii="宋体" w:hAnsi="宋体" w:cs="宋体"/>
          <w:b/>
          <w:bCs/>
          <w:color w:val="auto"/>
          <w:sz w:val="24"/>
          <w:highlight w:val="none"/>
          <w:lang w:val="en-US" w:eastAsia="zh-CN"/>
        </w:rPr>
        <w:t>,</w:t>
      </w:r>
      <w:r>
        <w:rPr>
          <w:rFonts w:hint="eastAsia" w:ascii="宋体" w:hAnsi="宋体" w:cs="宋体"/>
          <w:b/>
          <w:bCs/>
          <w:color w:val="auto"/>
          <w:sz w:val="24"/>
          <w:highlight w:val="none"/>
        </w:rPr>
        <w:t>保险费用含在此次报价中。</w:t>
      </w:r>
    </w:p>
    <w:p>
      <w:pPr>
        <w:spacing w:line="360" w:lineRule="auto"/>
        <w:ind w:firstLine="435"/>
        <w:rPr>
          <w:rFonts w:ascii="宋体" w:hAnsi="宋体"/>
          <w:b/>
          <w:bCs/>
          <w:color w:val="auto"/>
          <w:sz w:val="24"/>
          <w:highlight w:val="none"/>
        </w:rPr>
      </w:pP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val="en-US" w:eastAsia="zh-CN"/>
        </w:rPr>
        <w:t>16</w:t>
      </w:r>
      <w:r>
        <w:rPr>
          <w:rFonts w:hint="eastAsia" w:ascii="宋体" w:hAnsi="宋体" w:cs="宋体"/>
          <w:b/>
          <w:bCs/>
          <w:color w:val="auto"/>
          <w:sz w:val="24"/>
          <w:highlight w:val="none"/>
        </w:rPr>
        <w:t>.自搬迁验收完成之日起，所有设备免费质保</w:t>
      </w:r>
      <w:r>
        <w:rPr>
          <w:rFonts w:hint="eastAsia" w:ascii="宋体" w:hAnsi="宋体" w:cs="宋体"/>
          <w:b/>
          <w:bCs/>
          <w:color w:val="auto"/>
          <w:sz w:val="24"/>
          <w:highlight w:val="none"/>
          <w:lang w:val="en-US" w:eastAsia="zh-CN"/>
        </w:rPr>
        <w:t>1</w:t>
      </w:r>
      <w:r>
        <w:rPr>
          <w:rFonts w:hint="eastAsia" w:ascii="宋体" w:hAnsi="宋体" w:cs="宋体"/>
          <w:b/>
          <w:bCs/>
          <w:color w:val="auto"/>
          <w:sz w:val="24"/>
          <w:highlight w:val="none"/>
        </w:rPr>
        <w:t>年。</w:t>
      </w:r>
    </w:p>
    <w:p>
      <w:pPr>
        <w:pStyle w:val="29"/>
        <w:rPr>
          <w:color w:val="auto"/>
          <w:highlight w:val="none"/>
        </w:rPr>
      </w:pPr>
    </w:p>
    <w:p>
      <w:pPr>
        <w:spacing w:line="520" w:lineRule="exact"/>
        <w:jc w:val="left"/>
        <w:rPr>
          <w:rFonts w:ascii="仿宋_GB2312" w:hAnsi="仿宋_GB2312" w:eastAsia="仿宋_GB2312" w:cs="仿宋_GB2312"/>
          <w:b/>
          <w:bCs/>
          <w:color w:val="auto"/>
          <w:sz w:val="30"/>
          <w:szCs w:val="30"/>
          <w:highlight w:val="none"/>
        </w:rPr>
      </w:pPr>
      <w:r>
        <w:rPr>
          <w:rFonts w:hint="eastAsia" w:ascii="仿宋_GB2312" w:hAnsi="仿宋_GB2312" w:eastAsia="仿宋_GB2312" w:cs="仿宋_GB2312"/>
          <w:b/>
          <w:bCs/>
          <w:color w:val="auto"/>
          <w:sz w:val="30"/>
          <w:szCs w:val="30"/>
          <w:highlight w:val="none"/>
        </w:rPr>
        <w:t>二、</w:t>
      </w:r>
      <w:r>
        <w:rPr>
          <w:rFonts w:hint="eastAsia" w:ascii="仿宋" w:hAnsi="仿宋" w:eastAsia="仿宋" w:cs="仿宋"/>
          <w:b/>
          <w:bCs/>
          <w:color w:val="auto"/>
          <w:sz w:val="30"/>
          <w:szCs w:val="30"/>
          <w:highlight w:val="none"/>
        </w:rPr>
        <w:t>轮机工程技术</w:t>
      </w:r>
      <w:r>
        <w:rPr>
          <w:rFonts w:hint="eastAsia" w:ascii="仿宋_GB2312" w:hAnsi="仿宋_GB2312" w:eastAsia="仿宋_GB2312" w:cs="仿宋_GB2312"/>
          <w:b/>
          <w:bCs/>
          <w:color w:val="auto"/>
          <w:sz w:val="30"/>
          <w:szCs w:val="30"/>
          <w:highlight w:val="none"/>
        </w:rPr>
        <w:t xml:space="preserve">实训室搬迁技术要求 </w:t>
      </w:r>
    </w:p>
    <w:tbl>
      <w:tblPr>
        <w:tblStyle w:val="23"/>
        <w:tblW w:w="9202" w:type="dxa"/>
        <w:jc w:val="center"/>
        <w:tblLayout w:type="fixed"/>
        <w:tblCellMar>
          <w:top w:w="0" w:type="dxa"/>
          <w:left w:w="108" w:type="dxa"/>
          <w:bottom w:w="0" w:type="dxa"/>
          <w:right w:w="108" w:type="dxa"/>
        </w:tblCellMar>
      </w:tblPr>
      <w:tblGrid>
        <w:gridCol w:w="450"/>
        <w:gridCol w:w="727"/>
        <w:gridCol w:w="720"/>
        <w:gridCol w:w="62"/>
        <w:gridCol w:w="1528"/>
        <w:gridCol w:w="512"/>
        <w:gridCol w:w="765"/>
        <w:gridCol w:w="1378"/>
        <w:gridCol w:w="362"/>
        <w:gridCol w:w="448"/>
        <w:gridCol w:w="930"/>
        <w:gridCol w:w="1320"/>
      </w:tblGrid>
      <w:tr>
        <w:tblPrEx>
          <w:tblCellMar>
            <w:top w:w="0" w:type="dxa"/>
            <w:left w:w="108" w:type="dxa"/>
            <w:bottom w:w="0" w:type="dxa"/>
            <w:right w:w="108" w:type="dxa"/>
          </w:tblCellMar>
        </w:tblPrEx>
        <w:trPr>
          <w:trHeight w:val="600" w:hRule="atLeast"/>
          <w:jc w:val="center"/>
        </w:trPr>
        <w:tc>
          <w:tcPr>
            <w:tcW w:w="450"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rFonts w:ascii="宋体" w:hAnsi="宋体" w:cs="宋体"/>
                <w:b/>
                <w:bCs/>
                <w:color w:val="auto"/>
                <w:sz w:val="24"/>
                <w:szCs w:val="24"/>
                <w:highlight w:val="none"/>
              </w:rPr>
            </w:pPr>
            <w:r>
              <w:rPr>
                <w:rStyle w:val="59"/>
                <w:rFonts w:hint="default"/>
                <w:color w:val="auto"/>
                <w:highlight w:val="none"/>
              </w:rPr>
              <w:t>序号</w:t>
            </w:r>
          </w:p>
        </w:tc>
        <w:tc>
          <w:tcPr>
            <w:tcW w:w="727"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rFonts w:ascii="宋体" w:hAnsi="宋体" w:cs="宋体"/>
                <w:b/>
                <w:bCs/>
                <w:color w:val="auto"/>
                <w:sz w:val="24"/>
                <w:szCs w:val="24"/>
                <w:highlight w:val="none"/>
              </w:rPr>
            </w:pPr>
            <w:r>
              <w:rPr>
                <w:rStyle w:val="59"/>
                <w:rFonts w:hint="default"/>
                <w:color w:val="auto"/>
                <w:highlight w:val="none"/>
              </w:rPr>
              <w:t>货物名称</w:t>
            </w:r>
          </w:p>
        </w:tc>
        <w:tc>
          <w:tcPr>
            <w:tcW w:w="6705" w:type="dxa"/>
            <w:gridSpan w:val="9"/>
            <w:tcBorders>
              <w:top w:val="single" w:color="000000" w:sz="8" w:space="0"/>
              <w:left w:val="single" w:color="000000" w:sz="8" w:space="0"/>
              <w:bottom w:val="nil"/>
              <w:right w:val="single" w:color="000000" w:sz="8" w:space="0"/>
            </w:tcBorders>
            <w:shd w:val="clear" w:color="auto" w:fill="auto"/>
          </w:tcPr>
          <w:p>
            <w:pPr>
              <w:widowControl/>
              <w:jc w:val="center"/>
              <w:textAlignment w:val="top"/>
              <w:rPr>
                <w:rFonts w:ascii="宋体" w:hAnsi="宋体" w:cs="宋体"/>
                <w:b/>
                <w:bCs/>
                <w:color w:val="auto"/>
                <w:sz w:val="24"/>
                <w:szCs w:val="24"/>
                <w:highlight w:val="none"/>
              </w:rPr>
            </w:pPr>
            <w:r>
              <w:rPr>
                <w:rStyle w:val="59"/>
                <w:rFonts w:hint="default"/>
                <w:color w:val="auto"/>
                <w:highlight w:val="none"/>
              </w:rPr>
              <w:t>主要技术参数及要求</w:t>
            </w:r>
          </w:p>
        </w:tc>
        <w:tc>
          <w:tcPr>
            <w:tcW w:w="1320" w:type="dxa"/>
            <w:tcBorders>
              <w:top w:val="single" w:color="000000" w:sz="8" w:space="0"/>
              <w:left w:val="single" w:color="000000" w:sz="8" w:space="0"/>
              <w:bottom w:val="nil"/>
              <w:right w:val="single" w:color="000000" w:sz="8" w:space="0"/>
            </w:tcBorders>
            <w:shd w:val="clear" w:color="auto" w:fill="auto"/>
          </w:tcPr>
          <w:p>
            <w:pPr>
              <w:widowControl/>
              <w:jc w:val="center"/>
              <w:textAlignment w:val="top"/>
              <w:rPr>
                <w:rFonts w:ascii="宋体" w:hAnsi="宋体" w:cs="宋体"/>
                <w:b/>
                <w:bCs/>
                <w:color w:val="auto"/>
                <w:sz w:val="24"/>
                <w:szCs w:val="24"/>
                <w:highlight w:val="none"/>
              </w:rPr>
            </w:pPr>
            <w:r>
              <w:rPr>
                <w:rFonts w:hint="eastAsia" w:ascii="宋体" w:hAnsi="宋体" w:cs="宋体"/>
                <w:b/>
                <w:bCs/>
                <w:color w:val="auto"/>
                <w:kern w:val="0"/>
                <w:sz w:val="24"/>
                <w:szCs w:val="24"/>
                <w:highlight w:val="none"/>
              </w:rPr>
              <w:t>备注</w:t>
            </w:r>
          </w:p>
        </w:tc>
      </w:tr>
      <w:tr>
        <w:tblPrEx>
          <w:tblCellMar>
            <w:top w:w="0" w:type="dxa"/>
            <w:left w:w="108" w:type="dxa"/>
            <w:bottom w:w="0" w:type="dxa"/>
            <w:right w:w="108" w:type="dxa"/>
          </w:tblCellMar>
        </w:tblPrEx>
        <w:trPr>
          <w:trHeight w:val="3390" w:hRule="atLeast"/>
          <w:jc w:val="center"/>
        </w:trPr>
        <w:tc>
          <w:tcPr>
            <w:tcW w:w="450" w:type="dxa"/>
            <w:vMerge w:val="restart"/>
            <w:tcBorders>
              <w:top w:val="nil"/>
              <w:left w:val="single" w:color="000000" w:sz="8" w:space="0"/>
              <w:right w:val="single" w:color="000000" w:sz="8" w:space="0"/>
            </w:tcBorders>
            <w:shd w:val="clear" w:color="auto" w:fill="auto"/>
          </w:tcPr>
          <w:p>
            <w:pPr>
              <w:widowControl/>
              <w:jc w:val="center"/>
              <w:textAlignment w:val="top"/>
              <w:rPr>
                <w:rFonts w:ascii="宋体" w:hAnsi="宋体" w:cs="宋体"/>
                <w:b/>
                <w:bCs/>
                <w:color w:val="auto"/>
                <w:kern w:val="0"/>
                <w:sz w:val="24"/>
                <w:szCs w:val="24"/>
                <w:highlight w:val="none"/>
              </w:rPr>
            </w:pPr>
          </w:p>
          <w:p>
            <w:pPr>
              <w:widowControl/>
              <w:jc w:val="center"/>
              <w:textAlignment w:val="top"/>
              <w:rPr>
                <w:rFonts w:ascii="宋体" w:hAnsi="宋体" w:cs="宋体"/>
                <w:b/>
                <w:bCs/>
                <w:color w:val="auto"/>
                <w:kern w:val="0"/>
                <w:sz w:val="24"/>
                <w:szCs w:val="24"/>
                <w:highlight w:val="none"/>
              </w:rPr>
            </w:pPr>
          </w:p>
          <w:p>
            <w:pPr>
              <w:widowControl/>
              <w:jc w:val="center"/>
              <w:textAlignment w:val="top"/>
              <w:rPr>
                <w:rFonts w:ascii="宋体" w:hAnsi="宋体" w:cs="宋体"/>
                <w:b/>
                <w:bCs/>
                <w:color w:val="auto"/>
                <w:kern w:val="0"/>
                <w:sz w:val="24"/>
                <w:szCs w:val="24"/>
                <w:highlight w:val="none"/>
              </w:rPr>
            </w:pPr>
          </w:p>
          <w:p>
            <w:pPr>
              <w:widowControl/>
              <w:jc w:val="center"/>
              <w:textAlignment w:val="top"/>
              <w:rPr>
                <w:rFonts w:ascii="宋体" w:hAnsi="宋体" w:cs="宋体"/>
                <w:b/>
                <w:bCs/>
                <w:color w:val="auto"/>
                <w:kern w:val="0"/>
                <w:sz w:val="24"/>
                <w:szCs w:val="24"/>
                <w:highlight w:val="none"/>
              </w:rPr>
            </w:pPr>
          </w:p>
          <w:p>
            <w:pPr>
              <w:widowControl/>
              <w:jc w:val="center"/>
              <w:textAlignment w:val="top"/>
              <w:rPr>
                <w:rFonts w:ascii="宋体" w:hAnsi="宋体" w:cs="宋体"/>
                <w:b/>
                <w:bCs/>
                <w:color w:val="auto"/>
                <w:kern w:val="0"/>
                <w:sz w:val="24"/>
                <w:szCs w:val="24"/>
                <w:highlight w:val="none"/>
              </w:rPr>
            </w:pPr>
          </w:p>
          <w:p>
            <w:pPr>
              <w:widowControl/>
              <w:jc w:val="center"/>
              <w:textAlignment w:val="top"/>
              <w:rPr>
                <w:rFonts w:ascii="宋体" w:hAnsi="宋体" w:cs="宋体"/>
                <w:b/>
                <w:bCs/>
                <w:color w:val="auto"/>
                <w:kern w:val="0"/>
                <w:sz w:val="24"/>
                <w:szCs w:val="24"/>
                <w:highlight w:val="none"/>
              </w:rPr>
            </w:pPr>
          </w:p>
          <w:p>
            <w:pPr>
              <w:widowControl/>
              <w:jc w:val="center"/>
              <w:textAlignment w:val="top"/>
              <w:rPr>
                <w:rFonts w:ascii="宋体" w:hAnsi="宋体" w:cs="宋体"/>
                <w:b/>
                <w:bCs/>
                <w:color w:val="auto"/>
                <w:kern w:val="0"/>
                <w:sz w:val="24"/>
                <w:szCs w:val="24"/>
                <w:highlight w:val="none"/>
              </w:rPr>
            </w:pPr>
          </w:p>
          <w:p>
            <w:pPr>
              <w:widowControl/>
              <w:jc w:val="center"/>
              <w:textAlignment w:val="top"/>
              <w:rPr>
                <w:rFonts w:ascii="宋体" w:hAnsi="宋体" w:cs="宋体"/>
                <w:b/>
                <w:bCs/>
                <w:color w:val="auto"/>
                <w:kern w:val="0"/>
                <w:sz w:val="24"/>
                <w:szCs w:val="24"/>
                <w:highlight w:val="none"/>
              </w:rPr>
            </w:pPr>
          </w:p>
          <w:p>
            <w:pPr>
              <w:widowControl/>
              <w:jc w:val="center"/>
              <w:textAlignment w:val="top"/>
              <w:rPr>
                <w:rFonts w:ascii="宋体" w:hAnsi="宋体" w:cs="宋体"/>
                <w:b/>
                <w:bCs/>
                <w:color w:val="auto"/>
                <w:kern w:val="0"/>
                <w:sz w:val="24"/>
                <w:szCs w:val="24"/>
                <w:highlight w:val="none"/>
              </w:rPr>
            </w:pPr>
          </w:p>
          <w:p>
            <w:pPr>
              <w:widowControl/>
              <w:jc w:val="center"/>
              <w:textAlignment w:val="top"/>
              <w:rPr>
                <w:rFonts w:ascii="宋体" w:hAnsi="宋体" w:cs="宋体"/>
                <w:b/>
                <w:bCs/>
                <w:color w:val="auto"/>
                <w:kern w:val="0"/>
                <w:sz w:val="24"/>
                <w:szCs w:val="24"/>
                <w:highlight w:val="none"/>
              </w:rPr>
            </w:pPr>
          </w:p>
          <w:p>
            <w:pPr>
              <w:widowControl/>
              <w:jc w:val="center"/>
              <w:textAlignment w:val="top"/>
              <w:rPr>
                <w:rFonts w:ascii="宋体" w:hAnsi="宋体" w:cs="宋体"/>
                <w:b/>
                <w:bCs/>
                <w:color w:val="auto"/>
                <w:kern w:val="0"/>
                <w:sz w:val="24"/>
                <w:szCs w:val="24"/>
                <w:highlight w:val="none"/>
              </w:rPr>
            </w:pPr>
          </w:p>
          <w:p>
            <w:pPr>
              <w:widowControl/>
              <w:jc w:val="center"/>
              <w:textAlignment w:val="top"/>
              <w:rPr>
                <w:rFonts w:ascii="宋体" w:hAnsi="宋体" w:cs="宋体"/>
                <w:b/>
                <w:bCs/>
                <w:color w:val="auto"/>
                <w:kern w:val="0"/>
                <w:sz w:val="24"/>
                <w:szCs w:val="24"/>
                <w:highlight w:val="none"/>
              </w:rPr>
            </w:pPr>
          </w:p>
          <w:p>
            <w:pPr>
              <w:widowControl/>
              <w:jc w:val="center"/>
              <w:textAlignment w:val="top"/>
              <w:rPr>
                <w:rFonts w:ascii="宋体" w:hAnsi="宋体" w:cs="宋体"/>
                <w:b/>
                <w:bCs/>
                <w:color w:val="auto"/>
                <w:kern w:val="0"/>
                <w:sz w:val="24"/>
                <w:szCs w:val="24"/>
                <w:highlight w:val="none"/>
              </w:rPr>
            </w:pPr>
          </w:p>
          <w:p>
            <w:pPr>
              <w:widowControl/>
              <w:jc w:val="center"/>
              <w:textAlignment w:val="top"/>
              <w:rPr>
                <w:rFonts w:ascii="宋体" w:hAnsi="宋体" w:cs="宋体"/>
                <w:b/>
                <w:bCs/>
                <w:color w:val="auto"/>
                <w:kern w:val="0"/>
                <w:sz w:val="24"/>
                <w:szCs w:val="24"/>
                <w:highlight w:val="none"/>
              </w:rPr>
            </w:pPr>
          </w:p>
          <w:p>
            <w:pPr>
              <w:widowControl/>
              <w:jc w:val="center"/>
              <w:textAlignment w:val="top"/>
              <w:rPr>
                <w:rFonts w:ascii="宋体" w:hAnsi="宋体" w:cs="宋体"/>
                <w:b/>
                <w:bCs/>
                <w:color w:val="auto"/>
                <w:kern w:val="0"/>
                <w:sz w:val="24"/>
                <w:szCs w:val="24"/>
                <w:highlight w:val="none"/>
              </w:rPr>
            </w:pPr>
          </w:p>
          <w:p>
            <w:pPr>
              <w:widowControl/>
              <w:jc w:val="center"/>
              <w:textAlignment w:val="top"/>
              <w:rPr>
                <w:rFonts w:ascii="宋体" w:hAnsi="宋体" w:cs="宋体"/>
                <w:b/>
                <w:bCs/>
                <w:color w:val="auto"/>
                <w:kern w:val="0"/>
                <w:sz w:val="24"/>
                <w:szCs w:val="24"/>
                <w:highlight w:val="none"/>
              </w:rPr>
            </w:pPr>
          </w:p>
          <w:p>
            <w:pPr>
              <w:widowControl/>
              <w:jc w:val="center"/>
              <w:textAlignment w:val="top"/>
              <w:rPr>
                <w:rFonts w:ascii="宋体" w:hAnsi="宋体" w:cs="宋体"/>
                <w:b/>
                <w:bCs/>
                <w:color w:val="auto"/>
                <w:kern w:val="0"/>
                <w:sz w:val="24"/>
                <w:szCs w:val="24"/>
                <w:highlight w:val="none"/>
              </w:rPr>
            </w:pPr>
          </w:p>
          <w:p>
            <w:pPr>
              <w:widowControl/>
              <w:jc w:val="center"/>
              <w:textAlignment w:val="top"/>
              <w:rPr>
                <w:rFonts w:ascii="宋体" w:hAnsi="宋体" w:cs="宋体"/>
                <w:b/>
                <w:bCs/>
                <w:color w:val="auto"/>
                <w:kern w:val="0"/>
                <w:sz w:val="24"/>
                <w:szCs w:val="24"/>
                <w:highlight w:val="none"/>
              </w:rPr>
            </w:pPr>
          </w:p>
          <w:p>
            <w:pPr>
              <w:widowControl/>
              <w:jc w:val="center"/>
              <w:textAlignment w:val="top"/>
              <w:rPr>
                <w:rFonts w:ascii="宋体" w:hAnsi="宋体" w:cs="宋体"/>
                <w:b/>
                <w:bCs/>
                <w:color w:val="auto"/>
                <w:kern w:val="0"/>
                <w:sz w:val="24"/>
                <w:szCs w:val="24"/>
                <w:highlight w:val="none"/>
              </w:rPr>
            </w:pPr>
          </w:p>
          <w:p>
            <w:pPr>
              <w:widowControl/>
              <w:jc w:val="center"/>
              <w:textAlignment w:val="top"/>
              <w:rPr>
                <w:rFonts w:ascii="宋体" w:hAnsi="宋体" w:cs="宋体"/>
                <w:b/>
                <w:bCs/>
                <w:color w:val="auto"/>
                <w:kern w:val="0"/>
                <w:sz w:val="24"/>
                <w:szCs w:val="24"/>
                <w:highlight w:val="none"/>
              </w:rPr>
            </w:pPr>
          </w:p>
          <w:p>
            <w:pPr>
              <w:widowControl/>
              <w:jc w:val="center"/>
              <w:textAlignment w:val="top"/>
              <w:rPr>
                <w:rFonts w:ascii="宋体" w:hAnsi="宋体" w:cs="宋体"/>
                <w:b/>
                <w:bCs/>
                <w:color w:val="auto"/>
                <w:kern w:val="0"/>
                <w:sz w:val="24"/>
                <w:szCs w:val="24"/>
                <w:highlight w:val="none"/>
              </w:rPr>
            </w:pPr>
          </w:p>
          <w:p>
            <w:pPr>
              <w:widowControl/>
              <w:jc w:val="center"/>
              <w:textAlignment w:val="top"/>
              <w:rPr>
                <w:rFonts w:ascii="宋体" w:hAnsi="宋体" w:cs="宋体"/>
                <w:b/>
                <w:bCs/>
                <w:color w:val="auto"/>
                <w:sz w:val="24"/>
                <w:szCs w:val="24"/>
                <w:highlight w:val="none"/>
              </w:rPr>
            </w:pPr>
            <w:r>
              <w:rPr>
                <w:rFonts w:hint="eastAsia" w:ascii="宋体" w:hAnsi="宋体" w:cs="宋体"/>
                <w:b/>
                <w:bCs/>
                <w:color w:val="auto"/>
                <w:kern w:val="0"/>
                <w:sz w:val="24"/>
                <w:szCs w:val="24"/>
                <w:highlight w:val="none"/>
              </w:rPr>
              <w:t>1</w:t>
            </w:r>
          </w:p>
        </w:tc>
        <w:tc>
          <w:tcPr>
            <w:tcW w:w="727" w:type="dxa"/>
            <w:vMerge w:val="restart"/>
            <w:tcBorders>
              <w:top w:val="nil"/>
              <w:left w:val="single" w:color="000000" w:sz="8" w:space="0"/>
              <w:right w:val="nil"/>
            </w:tcBorders>
            <w:shd w:val="clear" w:color="auto" w:fill="auto"/>
          </w:tcPr>
          <w:p>
            <w:pPr>
              <w:widowControl/>
              <w:textAlignment w:val="top"/>
              <w:rPr>
                <w:rStyle w:val="59"/>
                <w:rFonts w:hint="default"/>
                <w:color w:val="auto"/>
                <w:highlight w:val="none"/>
              </w:rPr>
            </w:pPr>
          </w:p>
          <w:p>
            <w:pPr>
              <w:widowControl/>
              <w:textAlignment w:val="top"/>
              <w:rPr>
                <w:rStyle w:val="59"/>
                <w:rFonts w:hint="default"/>
                <w:color w:val="auto"/>
                <w:highlight w:val="none"/>
              </w:rPr>
            </w:pPr>
          </w:p>
          <w:p>
            <w:pPr>
              <w:widowControl/>
              <w:textAlignment w:val="top"/>
              <w:rPr>
                <w:rStyle w:val="59"/>
                <w:rFonts w:hint="default"/>
                <w:color w:val="auto"/>
                <w:highlight w:val="none"/>
              </w:rPr>
            </w:pPr>
          </w:p>
          <w:p>
            <w:pPr>
              <w:widowControl/>
              <w:textAlignment w:val="top"/>
              <w:rPr>
                <w:rStyle w:val="59"/>
                <w:rFonts w:hint="default"/>
                <w:color w:val="auto"/>
                <w:highlight w:val="none"/>
              </w:rPr>
            </w:pPr>
          </w:p>
          <w:p>
            <w:pPr>
              <w:widowControl/>
              <w:textAlignment w:val="top"/>
              <w:rPr>
                <w:rStyle w:val="59"/>
                <w:rFonts w:hint="default"/>
                <w:color w:val="auto"/>
                <w:highlight w:val="none"/>
              </w:rPr>
            </w:pPr>
          </w:p>
          <w:p>
            <w:pPr>
              <w:widowControl/>
              <w:textAlignment w:val="top"/>
              <w:rPr>
                <w:rStyle w:val="59"/>
                <w:rFonts w:hint="default"/>
                <w:color w:val="auto"/>
                <w:highlight w:val="none"/>
              </w:rPr>
            </w:pPr>
          </w:p>
          <w:p>
            <w:pPr>
              <w:widowControl/>
              <w:textAlignment w:val="top"/>
              <w:rPr>
                <w:rStyle w:val="59"/>
                <w:rFonts w:hint="default"/>
                <w:color w:val="auto"/>
                <w:highlight w:val="none"/>
              </w:rPr>
            </w:pPr>
          </w:p>
          <w:p>
            <w:pPr>
              <w:widowControl/>
              <w:textAlignment w:val="top"/>
              <w:rPr>
                <w:rStyle w:val="59"/>
                <w:rFonts w:hint="default"/>
                <w:color w:val="auto"/>
                <w:highlight w:val="none"/>
              </w:rPr>
            </w:pPr>
          </w:p>
          <w:p>
            <w:pPr>
              <w:widowControl/>
              <w:textAlignment w:val="top"/>
              <w:rPr>
                <w:rStyle w:val="59"/>
                <w:rFonts w:hint="default"/>
                <w:color w:val="auto"/>
                <w:highlight w:val="none"/>
              </w:rPr>
            </w:pPr>
          </w:p>
          <w:p>
            <w:pPr>
              <w:widowControl/>
              <w:textAlignment w:val="top"/>
              <w:rPr>
                <w:rStyle w:val="59"/>
                <w:rFonts w:hint="default"/>
                <w:color w:val="auto"/>
                <w:highlight w:val="none"/>
              </w:rPr>
            </w:pPr>
          </w:p>
          <w:p>
            <w:pPr>
              <w:widowControl/>
              <w:textAlignment w:val="top"/>
              <w:rPr>
                <w:rStyle w:val="59"/>
                <w:rFonts w:hint="default"/>
                <w:color w:val="auto"/>
                <w:highlight w:val="none"/>
              </w:rPr>
            </w:pPr>
          </w:p>
          <w:p>
            <w:pPr>
              <w:widowControl/>
              <w:textAlignment w:val="top"/>
              <w:rPr>
                <w:rStyle w:val="59"/>
                <w:rFonts w:hint="default"/>
                <w:color w:val="auto"/>
                <w:highlight w:val="none"/>
              </w:rPr>
            </w:pPr>
          </w:p>
          <w:p>
            <w:pPr>
              <w:widowControl/>
              <w:textAlignment w:val="top"/>
              <w:rPr>
                <w:rStyle w:val="59"/>
                <w:rFonts w:hint="default"/>
                <w:color w:val="auto"/>
                <w:highlight w:val="none"/>
              </w:rPr>
            </w:pPr>
          </w:p>
          <w:p>
            <w:pPr>
              <w:widowControl/>
              <w:textAlignment w:val="top"/>
              <w:rPr>
                <w:rStyle w:val="59"/>
                <w:rFonts w:hint="default"/>
                <w:color w:val="auto"/>
                <w:highlight w:val="none"/>
              </w:rPr>
            </w:pPr>
          </w:p>
          <w:p>
            <w:pPr>
              <w:widowControl/>
              <w:textAlignment w:val="top"/>
              <w:rPr>
                <w:rStyle w:val="59"/>
                <w:rFonts w:hint="default"/>
                <w:color w:val="auto"/>
                <w:highlight w:val="none"/>
              </w:rPr>
            </w:pPr>
          </w:p>
          <w:p>
            <w:pPr>
              <w:widowControl/>
              <w:textAlignment w:val="top"/>
              <w:rPr>
                <w:rStyle w:val="59"/>
                <w:rFonts w:hint="default"/>
                <w:color w:val="auto"/>
                <w:highlight w:val="none"/>
              </w:rPr>
            </w:pPr>
          </w:p>
          <w:p>
            <w:pPr>
              <w:widowControl/>
              <w:textAlignment w:val="top"/>
              <w:rPr>
                <w:rStyle w:val="59"/>
                <w:rFonts w:hint="default"/>
                <w:color w:val="auto"/>
                <w:highlight w:val="none"/>
              </w:rPr>
            </w:pPr>
          </w:p>
          <w:p>
            <w:pPr>
              <w:widowControl/>
              <w:textAlignment w:val="top"/>
              <w:rPr>
                <w:rFonts w:ascii="宋体" w:hAnsi="宋体" w:cs="宋体"/>
                <w:b/>
                <w:bCs/>
                <w:color w:val="auto"/>
                <w:sz w:val="24"/>
                <w:szCs w:val="24"/>
                <w:highlight w:val="none"/>
              </w:rPr>
            </w:pPr>
            <w:r>
              <w:rPr>
                <w:rStyle w:val="59"/>
                <w:rFonts w:hint="default"/>
                <w:color w:val="auto"/>
                <w:highlight w:val="none"/>
              </w:rPr>
              <w:t>船舶动力设备操作实训室一套设备搬迁、调试</w:t>
            </w:r>
          </w:p>
          <w:p>
            <w:pPr>
              <w:widowControl/>
              <w:ind w:firstLine="723" w:firstLineChars="300"/>
              <w:textAlignment w:val="top"/>
              <w:rPr>
                <w:rFonts w:ascii="宋体" w:hAnsi="宋体" w:cs="宋体"/>
                <w:b/>
                <w:bCs/>
                <w:color w:val="auto"/>
                <w:sz w:val="24"/>
                <w:szCs w:val="24"/>
                <w:highlight w:val="none"/>
              </w:rPr>
            </w:pPr>
            <w:r>
              <w:rPr>
                <w:rStyle w:val="59"/>
                <w:rFonts w:hint="default"/>
                <w:color w:val="auto"/>
                <w:highlight w:val="none"/>
              </w:rPr>
              <w:t xml:space="preserve"> </w:t>
            </w:r>
          </w:p>
        </w:tc>
        <w:tc>
          <w:tcPr>
            <w:tcW w:w="6705" w:type="dxa"/>
            <w:gridSpan w:val="9"/>
            <w:tcBorders>
              <w:top w:val="single" w:color="000000" w:sz="4" w:space="0"/>
              <w:left w:val="single" w:color="000000" w:sz="4" w:space="0"/>
              <w:bottom w:val="single" w:color="000000" w:sz="4" w:space="0"/>
              <w:right w:val="single" w:color="000000" w:sz="4" w:space="0"/>
            </w:tcBorders>
            <w:shd w:val="clear" w:color="auto" w:fill="auto"/>
          </w:tcPr>
          <w:p>
            <w:pPr>
              <w:widowControl/>
              <w:textAlignment w:val="top"/>
              <w:rPr>
                <w:rFonts w:ascii="宋体" w:hAnsi="宋体" w:cs="宋体"/>
                <w:color w:val="auto"/>
                <w:sz w:val="24"/>
                <w:szCs w:val="24"/>
                <w:highlight w:val="none"/>
              </w:rPr>
            </w:pPr>
            <w:r>
              <w:rPr>
                <w:rFonts w:hint="eastAsia" w:ascii="宋体" w:hAnsi="宋体" w:eastAsia="宋体" w:cs="宋体"/>
                <w:color w:val="auto"/>
                <w:sz w:val="21"/>
                <w:szCs w:val="21"/>
                <w:highlight w:val="none"/>
                <w:lang w:eastAsia="zh-CN"/>
              </w:rPr>
              <w:t>■</w:t>
            </w:r>
            <w:r>
              <w:rPr>
                <w:rFonts w:hint="eastAsia" w:ascii="宋体" w:hAnsi="宋体" w:cs="宋体"/>
                <w:color w:val="auto"/>
                <w:kern w:val="0"/>
                <w:szCs w:val="21"/>
                <w:highlight w:val="none"/>
                <w:lang w:bidi="ar"/>
              </w:rPr>
              <w:t>●</w:t>
            </w:r>
            <w:r>
              <w:rPr>
                <w:rStyle w:val="56"/>
                <w:rFonts w:hint="default"/>
                <w:color w:val="auto"/>
                <w:highlight w:val="none"/>
              </w:rPr>
              <w:t>1、6350Z可运转柴油机一台(重26吨）拆除油、水、气系统、工作平台、烟囱等附件，搬迁，重新预制底座，装复调整。附属系统：空压机2ZF-0.34/3-B一台、空压机0.34/30B一台、滑油泵KCB-200/3.3一台、燃油驳运泵2CY一台、冷却水泵3BL—9A两台、包括底座、电气、管路、阀件等附件拆除，冷却器LQG18-400(15㎡)、滑油循环柜（1.5m³）、储水柜（约12m³）一只、燃油柜（1.6m³）2只、膨胀水箱（0.75m³）一只，过滤器一只、油雾浓度探测器mark-5、空气瓶一只（新配0.6m³），搬迁至新场地后重新布置系统，不匹配的管路、控制线路重新加工。各系统按规范清洁、试压，调试，柴油机试运转。</w:t>
            </w:r>
            <w:r>
              <w:rPr>
                <w:rStyle w:val="61"/>
                <w:rFonts w:hint="default"/>
                <w:color w:val="auto"/>
                <w:highlight w:val="none"/>
              </w:rPr>
              <w:t>（响应文件需提供基座预制、基座预埋固定、辅助系统布置施工图纸及方案。）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1080" w:hRule="atLeast"/>
          <w:jc w:val="center"/>
        </w:trPr>
        <w:tc>
          <w:tcPr>
            <w:tcW w:w="450" w:type="dxa"/>
            <w:vMerge w:val="continue"/>
            <w:tcBorders>
              <w:left w:val="single" w:color="000000" w:sz="8" w:space="0"/>
              <w:right w:val="single" w:color="000000" w:sz="8" w:space="0"/>
            </w:tcBorders>
            <w:shd w:val="clear" w:color="auto" w:fill="auto"/>
          </w:tcPr>
          <w:p>
            <w:pPr>
              <w:jc w:val="center"/>
              <w:rPr>
                <w:rFonts w:ascii="宋体" w:hAnsi="宋体" w:cs="宋体"/>
                <w:b/>
                <w:bCs/>
                <w:color w:val="auto"/>
                <w:sz w:val="24"/>
                <w:szCs w:val="24"/>
                <w:highlight w:val="none"/>
              </w:rPr>
            </w:pPr>
          </w:p>
        </w:tc>
        <w:tc>
          <w:tcPr>
            <w:tcW w:w="727" w:type="dxa"/>
            <w:vMerge w:val="continue"/>
            <w:tcBorders>
              <w:left w:val="single" w:color="000000" w:sz="8" w:space="0"/>
              <w:right w:val="nil"/>
            </w:tcBorders>
            <w:shd w:val="clear" w:color="auto" w:fill="auto"/>
          </w:tcPr>
          <w:p>
            <w:pPr>
              <w:rPr>
                <w:rFonts w:ascii="宋体" w:hAnsi="宋体" w:cs="宋体"/>
                <w:b/>
                <w:bCs/>
                <w:color w:val="auto"/>
                <w:sz w:val="24"/>
                <w:szCs w:val="24"/>
                <w:highlight w:val="none"/>
              </w:rPr>
            </w:pPr>
          </w:p>
        </w:tc>
        <w:tc>
          <w:tcPr>
            <w:tcW w:w="6705" w:type="dxa"/>
            <w:gridSpan w:val="9"/>
            <w:tcBorders>
              <w:top w:val="single" w:color="000000" w:sz="4" w:space="0"/>
              <w:left w:val="single" w:color="000000" w:sz="4" w:space="0"/>
              <w:bottom w:val="single" w:color="000000" w:sz="4" w:space="0"/>
              <w:right w:val="single" w:color="000000" w:sz="4" w:space="0"/>
            </w:tcBorders>
            <w:shd w:val="clear" w:color="auto" w:fill="auto"/>
          </w:tcPr>
          <w:p>
            <w:pPr>
              <w:widowControl/>
              <w:textAlignment w:val="top"/>
              <w:rPr>
                <w:rFonts w:ascii="宋体" w:hAnsi="宋体" w:cs="宋体"/>
                <w:color w:val="auto"/>
                <w:sz w:val="24"/>
                <w:szCs w:val="24"/>
                <w:highlight w:val="none"/>
              </w:rPr>
            </w:pPr>
            <w:r>
              <w:rPr>
                <w:rFonts w:hint="eastAsia" w:ascii="宋体" w:hAnsi="宋体" w:eastAsia="宋体" w:cs="宋体"/>
                <w:color w:val="auto"/>
                <w:sz w:val="21"/>
                <w:szCs w:val="21"/>
                <w:highlight w:val="none"/>
                <w:lang w:eastAsia="zh-CN"/>
              </w:rPr>
              <w:t>■</w:t>
            </w:r>
            <w:r>
              <w:rPr>
                <w:rFonts w:hint="eastAsia" w:ascii="宋体" w:hAnsi="宋体" w:cs="宋体"/>
                <w:color w:val="auto"/>
                <w:kern w:val="0"/>
                <w:szCs w:val="21"/>
                <w:highlight w:val="none"/>
                <w:lang w:bidi="ar"/>
              </w:rPr>
              <w:t>●</w:t>
            </w:r>
            <w:r>
              <w:rPr>
                <w:rStyle w:val="56"/>
                <w:rFonts w:hint="default"/>
                <w:color w:val="auto"/>
                <w:highlight w:val="none"/>
              </w:rPr>
              <w:t>2、6160可运转柴油机一台拆除附属系统，搬迁，预制底座，装复、调整、各系统按规范清洁、试压后试运转。</w:t>
            </w:r>
            <w:r>
              <w:rPr>
                <w:rStyle w:val="61"/>
                <w:rFonts w:hint="default"/>
                <w:color w:val="auto"/>
                <w:highlight w:val="none"/>
              </w:rPr>
              <w:t>（响应文件需提供基座预制、基座预埋固定方案；辅助系统布置图纸及方案。）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1065" w:hRule="atLeast"/>
          <w:jc w:val="center"/>
        </w:trPr>
        <w:tc>
          <w:tcPr>
            <w:tcW w:w="450" w:type="dxa"/>
            <w:vMerge w:val="continue"/>
            <w:tcBorders>
              <w:left w:val="single" w:color="000000" w:sz="8" w:space="0"/>
              <w:right w:val="single" w:color="000000" w:sz="8" w:space="0"/>
            </w:tcBorders>
            <w:shd w:val="clear" w:color="auto" w:fill="auto"/>
          </w:tcPr>
          <w:p>
            <w:pPr>
              <w:jc w:val="center"/>
              <w:rPr>
                <w:rFonts w:ascii="宋体" w:hAnsi="宋体" w:cs="宋体"/>
                <w:b/>
                <w:bCs/>
                <w:color w:val="auto"/>
                <w:sz w:val="24"/>
                <w:szCs w:val="24"/>
                <w:highlight w:val="none"/>
              </w:rPr>
            </w:pPr>
          </w:p>
        </w:tc>
        <w:tc>
          <w:tcPr>
            <w:tcW w:w="727" w:type="dxa"/>
            <w:vMerge w:val="continue"/>
            <w:tcBorders>
              <w:left w:val="single" w:color="000000" w:sz="8" w:space="0"/>
              <w:right w:val="nil"/>
            </w:tcBorders>
            <w:shd w:val="clear" w:color="auto" w:fill="auto"/>
          </w:tcPr>
          <w:p>
            <w:pPr>
              <w:rPr>
                <w:rFonts w:ascii="宋体" w:hAnsi="宋体" w:cs="宋体"/>
                <w:b/>
                <w:bCs/>
                <w:color w:val="auto"/>
                <w:sz w:val="24"/>
                <w:szCs w:val="24"/>
                <w:highlight w:val="none"/>
              </w:rPr>
            </w:pPr>
          </w:p>
        </w:tc>
        <w:tc>
          <w:tcPr>
            <w:tcW w:w="6705" w:type="dxa"/>
            <w:gridSpan w:val="9"/>
            <w:tcBorders>
              <w:top w:val="single" w:color="000000" w:sz="4" w:space="0"/>
              <w:left w:val="single" w:color="000000" w:sz="4" w:space="0"/>
              <w:bottom w:val="single" w:color="000000" w:sz="4" w:space="0"/>
              <w:right w:val="single" w:color="000000" w:sz="4" w:space="0"/>
            </w:tcBorders>
            <w:shd w:val="clear" w:color="auto" w:fill="auto"/>
          </w:tcPr>
          <w:p>
            <w:pPr>
              <w:widowControl/>
              <w:textAlignment w:val="top"/>
              <w:rPr>
                <w:rFonts w:ascii="宋体" w:hAnsi="宋体" w:cs="宋体"/>
                <w:color w:val="auto"/>
                <w:sz w:val="24"/>
                <w:szCs w:val="24"/>
                <w:highlight w:val="none"/>
              </w:rPr>
            </w:pPr>
            <w:r>
              <w:rPr>
                <w:rFonts w:hint="eastAsia" w:ascii="宋体" w:hAnsi="宋体" w:eastAsia="宋体" w:cs="宋体"/>
                <w:color w:val="auto"/>
                <w:sz w:val="21"/>
                <w:szCs w:val="21"/>
                <w:highlight w:val="none"/>
                <w:lang w:eastAsia="zh-CN"/>
              </w:rPr>
              <w:t>■</w:t>
            </w:r>
            <w:r>
              <w:rPr>
                <w:rFonts w:hint="eastAsia" w:ascii="宋体" w:hAnsi="宋体" w:cs="宋体"/>
                <w:color w:val="auto"/>
                <w:kern w:val="0"/>
                <w:szCs w:val="21"/>
                <w:highlight w:val="none"/>
                <w:lang w:bidi="ar"/>
              </w:rPr>
              <w:t>●</w:t>
            </w:r>
            <w:r>
              <w:rPr>
                <w:rStyle w:val="60"/>
                <w:rFonts w:hint="default"/>
                <w:color w:val="auto"/>
                <w:highlight w:val="none"/>
              </w:rPr>
              <w:t>3、</w:t>
            </w:r>
            <w:r>
              <w:rPr>
                <w:rStyle w:val="56"/>
                <w:rFonts w:hint="default"/>
                <w:color w:val="auto"/>
                <w:highlight w:val="none"/>
              </w:rPr>
              <w:t>发电机组2组（包括配电屏、原动机6135）油水管路拆除，搬迁，机组固定，不匹配管路重配，各系统按规范清洁、试压后试运转。</w:t>
            </w:r>
            <w:r>
              <w:rPr>
                <w:rStyle w:val="62"/>
                <w:rFonts w:hint="default"/>
                <w:color w:val="auto"/>
                <w:highlight w:val="none"/>
              </w:rPr>
              <w:t>（响应文件需提供</w:t>
            </w:r>
            <w:r>
              <w:rPr>
                <w:rStyle w:val="61"/>
                <w:rFonts w:hint="default"/>
                <w:color w:val="auto"/>
                <w:highlight w:val="none"/>
              </w:rPr>
              <w:t>图纸及</w:t>
            </w:r>
            <w:r>
              <w:rPr>
                <w:rStyle w:val="62"/>
                <w:rFonts w:hint="default"/>
                <w:color w:val="auto"/>
                <w:highlight w:val="none"/>
              </w:rPr>
              <w:t>安装方案）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4"/>
                <w:szCs w:val="24"/>
                <w:highlight w:val="none"/>
              </w:rPr>
            </w:pPr>
          </w:p>
        </w:tc>
      </w:tr>
      <w:tr>
        <w:tblPrEx>
          <w:tblCellMar>
            <w:top w:w="0" w:type="dxa"/>
            <w:left w:w="108" w:type="dxa"/>
            <w:bottom w:w="0" w:type="dxa"/>
            <w:right w:w="108" w:type="dxa"/>
          </w:tblCellMar>
        </w:tblPrEx>
        <w:trPr>
          <w:trHeight w:val="1080" w:hRule="atLeast"/>
          <w:jc w:val="center"/>
        </w:trPr>
        <w:tc>
          <w:tcPr>
            <w:tcW w:w="450" w:type="dxa"/>
            <w:vMerge w:val="continue"/>
            <w:tcBorders>
              <w:left w:val="single" w:color="000000" w:sz="8" w:space="0"/>
              <w:right w:val="single" w:color="000000" w:sz="8" w:space="0"/>
            </w:tcBorders>
            <w:shd w:val="clear" w:color="auto" w:fill="auto"/>
          </w:tcPr>
          <w:p>
            <w:pPr>
              <w:jc w:val="center"/>
              <w:rPr>
                <w:rFonts w:ascii="宋体" w:hAnsi="宋体" w:cs="宋体"/>
                <w:b/>
                <w:bCs/>
                <w:color w:val="auto"/>
                <w:sz w:val="24"/>
                <w:szCs w:val="24"/>
                <w:highlight w:val="none"/>
              </w:rPr>
            </w:pPr>
          </w:p>
        </w:tc>
        <w:tc>
          <w:tcPr>
            <w:tcW w:w="727" w:type="dxa"/>
            <w:vMerge w:val="continue"/>
            <w:tcBorders>
              <w:left w:val="single" w:color="000000" w:sz="8" w:space="0"/>
              <w:right w:val="nil"/>
            </w:tcBorders>
            <w:shd w:val="clear" w:color="auto" w:fill="auto"/>
          </w:tcPr>
          <w:p>
            <w:pPr>
              <w:rPr>
                <w:rFonts w:ascii="宋体" w:hAnsi="宋体" w:cs="宋体"/>
                <w:b/>
                <w:bCs/>
                <w:color w:val="auto"/>
                <w:sz w:val="24"/>
                <w:szCs w:val="24"/>
                <w:highlight w:val="none"/>
              </w:rPr>
            </w:pPr>
          </w:p>
        </w:tc>
        <w:tc>
          <w:tcPr>
            <w:tcW w:w="6705" w:type="dxa"/>
            <w:gridSpan w:val="9"/>
            <w:tcBorders>
              <w:top w:val="single" w:color="000000" w:sz="4" w:space="0"/>
              <w:left w:val="single" w:color="000000" w:sz="4" w:space="0"/>
              <w:bottom w:val="single" w:color="000000" w:sz="4" w:space="0"/>
              <w:right w:val="single" w:color="000000" w:sz="4" w:space="0"/>
            </w:tcBorders>
            <w:shd w:val="clear" w:color="auto" w:fill="auto"/>
          </w:tcPr>
          <w:p>
            <w:pPr>
              <w:widowControl/>
              <w:textAlignment w:val="top"/>
              <w:rPr>
                <w:rFonts w:ascii="宋体" w:hAnsi="宋体" w:cs="宋体"/>
                <w:color w:val="auto"/>
                <w:sz w:val="24"/>
                <w:szCs w:val="24"/>
                <w:highlight w:val="none"/>
              </w:rPr>
            </w:pPr>
            <w:r>
              <w:rPr>
                <w:rFonts w:hint="eastAsia" w:ascii="宋体" w:hAnsi="宋体" w:eastAsia="宋体" w:cs="宋体"/>
                <w:color w:val="auto"/>
                <w:sz w:val="21"/>
                <w:szCs w:val="21"/>
                <w:highlight w:val="none"/>
                <w:lang w:eastAsia="zh-CN"/>
              </w:rPr>
              <w:t>■</w:t>
            </w:r>
            <w:r>
              <w:rPr>
                <w:rFonts w:hint="eastAsia" w:ascii="宋体" w:hAnsi="宋体" w:cs="宋体"/>
                <w:color w:val="auto"/>
                <w:kern w:val="0"/>
                <w:szCs w:val="21"/>
                <w:highlight w:val="none"/>
                <w:lang w:bidi="ar"/>
              </w:rPr>
              <w:t>●</w:t>
            </w:r>
            <w:r>
              <w:rPr>
                <w:rStyle w:val="60"/>
                <w:rFonts w:hint="default"/>
                <w:color w:val="auto"/>
                <w:highlight w:val="none"/>
              </w:rPr>
              <w:t>4、</w:t>
            </w:r>
            <w:r>
              <w:rPr>
                <w:rStyle w:val="56"/>
                <w:rFonts w:hint="default"/>
                <w:color w:val="auto"/>
                <w:highlight w:val="none"/>
              </w:rPr>
              <w:t>船用锅炉LSK0.15-0.5一套，热水井、控制箱、水泵及油、水、汽管路、附件拆除，搬迁，固定本体，装复系统，按规范清洁、试压后试运转。</w:t>
            </w:r>
            <w:r>
              <w:rPr>
                <w:rStyle w:val="61"/>
                <w:rFonts w:hint="default"/>
                <w:color w:val="auto"/>
                <w:highlight w:val="none"/>
              </w:rPr>
              <w:t>（响应文件需提供设备固定、辅助系统布置图纸及施工方案。）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4"/>
                <w:szCs w:val="24"/>
                <w:highlight w:val="none"/>
              </w:rPr>
            </w:pPr>
          </w:p>
        </w:tc>
      </w:tr>
      <w:tr>
        <w:tblPrEx>
          <w:tblCellMar>
            <w:top w:w="0" w:type="dxa"/>
            <w:left w:w="108" w:type="dxa"/>
            <w:bottom w:w="0" w:type="dxa"/>
            <w:right w:w="108" w:type="dxa"/>
          </w:tblCellMar>
        </w:tblPrEx>
        <w:trPr>
          <w:trHeight w:val="1335"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tcPr>
          <w:p>
            <w:pPr>
              <w:rPr>
                <w:rFonts w:ascii="宋体" w:hAnsi="宋体" w:cs="宋体"/>
                <w:b/>
                <w:bCs/>
                <w:color w:val="auto"/>
                <w:sz w:val="24"/>
                <w:szCs w:val="24"/>
                <w:highlight w:val="none"/>
              </w:rPr>
            </w:pPr>
          </w:p>
        </w:tc>
        <w:tc>
          <w:tcPr>
            <w:tcW w:w="6705" w:type="dxa"/>
            <w:gridSpan w:val="9"/>
            <w:tcBorders>
              <w:top w:val="single" w:color="000000" w:sz="4" w:space="0"/>
              <w:left w:val="single" w:color="000000" w:sz="4" w:space="0"/>
              <w:bottom w:val="single" w:color="000000" w:sz="4" w:space="0"/>
              <w:right w:val="single" w:color="000000" w:sz="4" w:space="0"/>
            </w:tcBorders>
            <w:shd w:val="clear" w:color="auto" w:fill="auto"/>
          </w:tcPr>
          <w:p>
            <w:pPr>
              <w:widowControl/>
              <w:textAlignment w:val="top"/>
              <w:rPr>
                <w:rFonts w:ascii="宋体" w:hAnsi="宋体" w:cs="宋体"/>
                <w:color w:val="auto"/>
                <w:sz w:val="24"/>
                <w:szCs w:val="24"/>
                <w:highlight w:val="none"/>
              </w:rPr>
            </w:pPr>
            <w:r>
              <w:rPr>
                <w:rFonts w:hint="eastAsia" w:ascii="宋体" w:hAnsi="宋体" w:eastAsia="宋体" w:cs="宋体"/>
                <w:color w:val="auto"/>
                <w:sz w:val="21"/>
                <w:szCs w:val="21"/>
                <w:highlight w:val="none"/>
                <w:lang w:eastAsia="zh-CN"/>
              </w:rPr>
              <w:t>■</w:t>
            </w:r>
            <w:r>
              <w:rPr>
                <w:rFonts w:hint="eastAsia" w:ascii="宋体" w:hAnsi="宋体" w:cs="宋体"/>
                <w:color w:val="auto"/>
                <w:kern w:val="0"/>
                <w:szCs w:val="21"/>
                <w:highlight w:val="none"/>
                <w:lang w:bidi="ar"/>
              </w:rPr>
              <w:t>●</w:t>
            </w:r>
            <w:r>
              <w:rPr>
                <w:rStyle w:val="60"/>
                <w:rFonts w:hint="default"/>
                <w:color w:val="auto"/>
                <w:highlight w:val="none"/>
              </w:rPr>
              <w:t>5、</w:t>
            </w:r>
            <w:r>
              <w:rPr>
                <w:rStyle w:val="56"/>
                <w:rFonts w:hint="default"/>
                <w:color w:val="auto"/>
                <w:highlight w:val="none"/>
              </w:rPr>
              <w:t>燃油分油机、油水分离器、海水淡化装置各一套，附属水柜、控制箱、油、水、气管路拆除搬迁装复，不匹配的管路、控制线路重新加工。各系统按规范清洁、试压后试运转。</w:t>
            </w:r>
            <w:r>
              <w:rPr>
                <w:rStyle w:val="61"/>
                <w:rFonts w:hint="default"/>
                <w:color w:val="auto"/>
                <w:highlight w:val="none"/>
              </w:rPr>
              <w:t>（响应文件需提供设备固定、辅助系统布置、图纸及施工方案。）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auto"/>
                <w:kern w:val="0"/>
                <w:sz w:val="24"/>
                <w:szCs w:val="24"/>
                <w:highlight w:val="none"/>
              </w:rPr>
            </w:pPr>
          </w:p>
        </w:tc>
      </w:tr>
      <w:tr>
        <w:tblPrEx>
          <w:tblCellMar>
            <w:top w:w="0" w:type="dxa"/>
            <w:left w:w="108" w:type="dxa"/>
            <w:bottom w:w="0" w:type="dxa"/>
            <w:right w:w="108" w:type="dxa"/>
          </w:tblCellMar>
        </w:tblPrEx>
        <w:trPr>
          <w:trHeight w:val="1350" w:hRule="atLeast"/>
          <w:jc w:val="center"/>
        </w:trPr>
        <w:tc>
          <w:tcPr>
            <w:tcW w:w="450" w:type="dxa"/>
            <w:vMerge w:val="continue"/>
            <w:tcBorders>
              <w:left w:val="single" w:color="000000" w:sz="8" w:space="0"/>
              <w:right w:val="single" w:color="000000" w:sz="8" w:space="0"/>
            </w:tcBorders>
            <w:shd w:val="clear" w:color="auto" w:fill="auto"/>
          </w:tcPr>
          <w:p>
            <w:pPr>
              <w:rPr>
                <w:rFonts w:ascii="宋体" w:hAnsi="宋体" w:cs="宋体"/>
                <w:b/>
                <w:bCs/>
                <w:color w:val="auto"/>
                <w:sz w:val="24"/>
                <w:szCs w:val="24"/>
                <w:highlight w:val="none"/>
              </w:rPr>
            </w:pPr>
          </w:p>
        </w:tc>
        <w:tc>
          <w:tcPr>
            <w:tcW w:w="727" w:type="dxa"/>
            <w:vMerge w:val="continue"/>
            <w:tcBorders>
              <w:left w:val="single" w:color="000000" w:sz="8" w:space="0"/>
              <w:right w:val="nil"/>
            </w:tcBorders>
            <w:shd w:val="clear" w:color="auto" w:fill="auto"/>
          </w:tcPr>
          <w:p>
            <w:pPr>
              <w:rPr>
                <w:rFonts w:ascii="宋体" w:hAnsi="宋体" w:cs="宋体"/>
                <w:b/>
                <w:bCs/>
                <w:color w:val="auto"/>
                <w:sz w:val="24"/>
                <w:szCs w:val="24"/>
                <w:highlight w:val="none"/>
              </w:rPr>
            </w:pPr>
          </w:p>
        </w:tc>
        <w:tc>
          <w:tcPr>
            <w:tcW w:w="6705" w:type="dxa"/>
            <w:gridSpan w:val="9"/>
            <w:tcBorders>
              <w:top w:val="single" w:color="000000" w:sz="4" w:space="0"/>
              <w:left w:val="single" w:color="000000" w:sz="4" w:space="0"/>
              <w:bottom w:val="single" w:color="000000" w:sz="4" w:space="0"/>
              <w:right w:val="single" w:color="000000" w:sz="4" w:space="0"/>
            </w:tcBorders>
            <w:shd w:val="clear" w:color="auto" w:fill="auto"/>
          </w:tcPr>
          <w:p>
            <w:pPr>
              <w:widowControl/>
              <w:textAlignment w:val="top"/>
              <w:rPr>
                <w:rFonts w:ascii="宋体" w:hAnsi="宋体" w:cs="宋体"/>
                <w:color w:val="auto"/>
                <w:sz w:val="24"/>
                <w:szCs w:val="24"/>
                <w:highlight w:val="none"/>
              </w:rPr>
            </w:pPr>
            <w:r>
              <w:rPr>
                <w:rFonts w:hint="eastAsia" w:ascii="宋体" w:hAnsi="宋体" w:cs="宋体"/>
                <w:color w:val="auto"/>
                <w:kern w:val="0"/>
                <w:szCs w:val="21"/>
                <w:highlight w:val="none"/>
                <w:lang w:bidi="ar"/>
              </w:rPr>
              <w:t>●</w:t>
            </w:r>
            <w:r>
              <w:rPr>
                <w:rStyle w:val="60"/>
                <w:rFonts w:hint="default"/>
                <w:color w:val="auto"/>
                <w:highlight w:val="none"/>
              </w:rPr>
              <w:t>6、</w:t>
            </w:r>
            <w:r>
              <w:rPr>
                <w:rStyle w:val="56"/>
                <w:rFonts w:hint="default"/>
                <w:color w:val="auto"/>
                <w:highlight w:val="none"/>
              </w:rPr>
              <w:t>燃油输送泵一台（齿轮泵2CY）控制箱、管路（连接沉淀柜日用柜）拆除搬迁装复，不匹配的管路、控制线路重新加工。各系统按规范清洁、试压后试运转。</w:t>
            </w:r>
            <w:r>
              <w:rPr>
                <w:rStyle w:val="63"/>
                <w:rFonts w:hint="default"/>
                <w:color w:val="auto"/>
                <w:highlight w:val="none"/>
              </w:rPr>
              <w:t>（</w:t>
            </w:r>
            <w:r>
              <w:rPr>
                <w:rStyle w:val="61"/>
                <w:rFonts w:hint="default"/>
                <w:color w:val="auto"/>
                <w:highlight w:val="none"/>
              </w:rPr>
              <w:t>响应文件需提供设备固定、辅助系统布置、图纸及施工方案。</w:t>
            </w:r>
            <w:r>
              <w:rPr>
                <w:rStyle w:val="63"/>
                <w:rFonts w:hint="default"/>
                <w:color w:val="auto"/>
                <w:highlight w:val="none"/>
              </w:rPr>
              <w:t>）</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p>
        </w:tc>
      </w:tr>
      <w:tr>
        <w:tblPrEx>
          <w:tblCellMar>
            <w:top w:w="0" w:type="dxa"/>
            <w:left w:w="108" w:type="dxa"/>
            <w:bottom w:w="0" w:type="dxa"/>
            <w:right w:w="108" w:type="dxa"/>
          </w:tblCellMar>
        </w:tblPrEx>
        <w:trPr>
          <w:trHeight w:val="1710"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tcPr>
          <w:p>
            <w:pPr>
              <w:widowControl/>
              <w:textAlignment w:val="top"/>
              <w:rPr>
                <w:rFonts w:ascii="宋体" w:hAnsi="宋体" w:cs="宋体"/>
                <w:b/>
                <w:bCs/>
                <w:color w:val="auto"/>
                <w:sz w:val="24"/>
                <w:szCs w:val="24"/>
                <w:highlight w:val="none"/>
              </w:rPr>
            </w:pPr>
          </w:p>
        </w:tc>
        <w:tc>
          <w:tcPr>
            <w:tcW w:w="6705" w:type="dxa"/>
            <w:gridSpan w:val="9"/>
            <w:tcBorders>
              <w:top w:val="single" w:color="000000" w:sz="4" w:space="0"/>
              <w:left w:val="single" w:color="000000" w:sz="4" w:space="0"/>
              <w:bottom w:val="single" w:color="000000" w:sz="4" w:space="0"/>
              <w:right w:val="single" w:color="000000" w:sz="4" w:space="0"/>
            </w:tcBorders>
            <w:shd w:val="clear" w:color="auto" w:fill="auto"/>
          </w:tcPr>
          <w:p>
            <w:pPr>
              <w:widowControl/>
              <w:textAlignment w:val="top"/>
              <w:rPr>
                <w:rFonts w:ascii="宋体" w:hAnsi="宋体" w:cs="宋体"/>
                <w:color w:val="auto"/>
                <w:sz w:val="24"/>
                <w:szCs w:val="24"/>
                <w:highlight w:val="none"/>
              </w:rPr>
            </w:pPr>
            <w:r>
              <w:rPr>
                <w:rFonts w:hint="eastAsia" w:ascii="宋体" w:hAnsi="宋体" w:cs="宋体"/>
                <w:color w:val="auto"/>
                <w:kern w:val="0"/>
                <w:szCs w:val="21"/>
                <w:highlight w:val="none"/>
                <w:lang w:bidi="ar"/>
              </w:rPr>
              <w:t>●</w:t>
            </w:r>
            <w:r>
              <w:rPr>
                <w:rStyle w:val="60"/>
                <w:rFonts w:hint="default"/>
                <w:color w:val="auto"/>
                <w:highlight w:val="none"/>
              </w:rPr>
              <w:t>7、</w:t>
            </w:r>
            <w:r>
              <w:rPr>
                <w:rStyle w:val="56"/>
                <w:rFonts w:hint="default"/>
                <w:color w:val="auto"/>
                <w:highlight w:val="none"/>
              </w:rPr>
              <w:t>压载、消防系统：离心泵ISG80-1602台、控制箱、阀箱、管路、阀件等附件拆除，搬迁，不匹配的管路、控制线路重新加工。连接至水柜，按规范清洁、试压后试运转。</w:t>
            </w:r>
            <w:r>
              <w:rPr>
                <w:rStyle w:val="63"/>
                <w:rFonts w:hint="default"/>
                <w:color w:val="auto"/>
                <w:highlight w:val="none"/>
              </w:rPr>
              <w:t>（</w:t>
            </w:r>
            <w:r>
              <w:rPr>
                <w:rStyle w:val="61"/>
                <w:rFonts w:hint="default"/>
                <w:color w:val="auto"/>
                <w:highlight w:val="none"/>
              </w:rPr>
              <w:t>响应文件需提供设备固定、辅助系统布置图纸及施工方案。</w:t>
            </w:r>
            <w:r>
              <w:rPr>
                <w:rStyle w:val="63"/>
                <w:rFonts w:hint="default"/>
                <w:color w:val="auto"/>
                <w:highlight w:val="none"/>
              </w:rPr>
              <w:t>）</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p>
        </w:tc>
      </w:tr>
      <w:tr>
        <w:tblPrEx>
          <w:tblCellMar>
            <w:top w:w="0" w:type="dxa"/>
            <w:left w:w="108" w:type="dxa"/>
            <w:bottom w:w="0" w:type="dxa"/>
            <w:right w:w="108" w:type="dxa"/>
          </w:tblCellMar>
        </w:tblPrEx>
        <w:trPr>
          <w:trHeight w:val="825" w:hRule="atLeast"/>
          <w:jc w:val="center"/>
        </w:trPr>
        <w:tc>
          <w:tcPr>
            <w:tcW w:w="450" w:type="dxa"/>
            <w:vMerge w:val="continue"/>
            <w:tcBorders>
              <w:left w:val="single" w:color="000000" w:sz="8" w:space="0"/>
              <w:right w:val="single" w:color="000000" w:sz="8" w:space="0"/>
            </w:tcBorders>
            <w:shd w:val="clear" w:color="auto" w:fill="auto"/>
          </w:tcPr>
          <w:p>
            <w:pPr>
              <w:widowControl/>
              <w:jc w:val="center"/>
              <w:textAlignment w:val="top"/>
              <w:rPr>
                <w:rFonts w:ascii="宋体" w:hAnsi="宋体" w:cs="宋体"/>
                <w:b/>
                <w:bCs/>
                <w:color w:val="auto"/>
                <w:sz w:val="24"/>
                <w:szCs w:val="24"/>
                <w:highlight w:val="none"/>
              </w:rPr>
            </w:pPr>
          </w:p>
        </w:tc>
        <w:tc>
          <w:tcPr>
            <w:tcW w:w="727" w:type="dxa"/>
            <w:vMerge w:val="continue"/>
            <w:tcBorders>
              <w:left w:val="single" w:color="000000" w:sz="8" w:space="0"/>
              <w:right w:val="nil"/>
            </w:tcBorders>
            <w:shd w:val="clear" w:color="auto" w:fill="auto"/>
          </w:tcPr>
          <w:p>
            <w:pPr>
              <w:rPr>
                <w:rFonts w:ascii="宋体" w:hAnsi="宋体" w:cs="宋体"/>
                <w:b/>
                <w:bCs/>
                <w:color w:val="auto"/>
                <w:sz w:val="24"/>
                <w:szCs w:val="24"/>
                <w:highlight w:val="none"/>
              </w:rPr>
            </w:pPr>
          </w:p>
        </w:tc>
        <w:tc>
          <w:tcPr>
            <w:tcW w:w="6705" w:type="dxa"/>
            <w:gridSpan w:val="9"/>
            <w:tcBorders>
              <w:top w:val="single" w:color="000000" w:sz="4" w:space="0"/>
              <w:left w:val="single" w:color="000000" w:sz="4" w:space="0"/>
              <w:bottom w:val="single" w:color="000000" w:sz="4" w:space="0"/>
              <w:right w:val="single" w:color="000000" w:sz="4" w:space="0"/>
            </w:tcBorders>
            <w:shd w:val="clear" w:color="auto" w:fill="auto"/>
          </w:tcPr>
          <w:p>
            <w:pPr>
              <w:widowControl/>
              <w:textAlignment w:val="top"/>
              <w:rPr>
                <w:rFonts w:ascii="宋体" w:hAnsi="宋体" w:cs="宋体"/>
                <w:color w:val="auto"/>
                <w:sz w:val="24"/>
                <w:szCs w:val="24"/>
                <w:highlight w:val="none"/>
              </w:rPr>
            </w:pPr>
            <w:r>
              <w:rPr>
                <w:rFonts w:hint="eastAsia" w:ascii="宋体" w:hAnsi="宋体" w:cs="宋体"/>
                <w:color w:val="auto"/>
                <w:kern w:val="0"/>
                <w:szCs w:val="21"/>
                <w:highlight w:val="none"/>
                <w:lang w:bidi="ar"/>
              </w:rPr>
              <w:t>●</w:t>
            </w:r>
            <w:r>
              <w:rPr>
                <w:rStyle w:val="60"/>
                <w:rFonts w:hint="default"/>
                <w:color w:val="auto"/>
                <w:highlight w:val="none"/>
              </w:rPr>
              <w:t>8、</w:t>
            </w:r>
            <w:r>
              <w:rPr>
                <w:rStyle w:val="56"/>
                <w:rFonts w:hint="default"/>
                <w:color w:val="auto"/>
                <w:highlight w:val="none"/>
              </w:rPr>
              <w:t>中央空调一套独立设备LL-508A拆、迁、装复，试运转。</w:t>
            </w:r>
            <w:r>
              <w:rPr>
                <w:rStyle w:val="63"/>
                <w:rFonts w:hint="default"/>
                <w:color w:val="auto"/>
                <w:highlight w:val="none"/>
              </w:rPr>
              <w:t>（</w:t>
            </w:r>
            <w:r>
              <w:rPr>
                <w:rStyle w:val="61"/>
                <w:rFonts w:hint="default"/>
                <w:color w:val="auto"/>
                <w:highlight w:val="none"/>
              </w:rPr>
              <w:t>响应文件需提供设备固定、辅助系统布置图纸及施工方案</w:t>
            </w:r>
            <w:r>
              <w:rPr>
                <w:rStyle w:val="63"/>
                <w:rFonts w:hint="default"/>
                <w:color w:val="auto"/>
                <w:highlight w:val="none"/>
              </w:rPr>
              <w:t>。）</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p>
        </w:tc>
      </w:tr>
      <w:tr>
        <w:tblPrEx>
          <w:tblCellMar>
            <w:top w:w="0" w:type="dxa"/>
            <w:left w:w="108" w:type="dxa"/>
            <w:bottom w:w="0" w:type="dxa"/>
            <w:right w:w="108" w:type="dxa"/>
          </w:tblCellMar>
        </w:tblPrEx>
        <w:trPr>
          <w:trHeight w:val="825"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tcPr>
          <w:p>
            <w:pPr>
              <w:widowControl/>
              <w:ind w:firstLine="723" w:firstLineChars="300"/>
              <w:textAlignment w:val="top"/>
              <w:rPr>
                <w:rFonts w:ascii="宋体" w:hAnsi="宋体" w:cs="宋体"/>
                <w:b/>
                <w:bCs/>
                <w:color w:val="auto"/>
                <w:sz w:val="24"/>
                <w:szCs w:val="24"/>
                <w:highlight w:val="none"/>
              </w:rPr>
            </w:pPr>
          </w:p>
        </w:tc>
        <w:tc>
          <w:tcPr>
            <w:tcW w:w="6705" w:type="dxa"/>
            <w:gridSpan w:val="9"/>
            <w:tcBorders>
              <w:top w:val="single" w:color="000000" w:sz="4" w:space="0"/>
              <w:left w:val="single" w:color="000000" w:sz="4" w:space="0"/>
              <w:bottom w:val="single" w:color="000000" w:sz="4" w:space="0"/>
              <w:right w:val="single" w:color="000000" w:sz="4" w:space="0"/>
            </w:tcBorders>
            <w:shd w:val="clear" w:color="auto" w:fill="auto"/>
          </w:tcPr>
          <w:p>
            <w:pPr>
              <w:widowControl/>
              <w:textAlignment w:val="top"/>
              <w:rPr>
                <w:rFonts w:ascii="宋体" w:hAnsi="宋体" w:cs="宋体"/>
                <w:color w:val="auto"/>
                <w:sz w:val="24"/>
                <w:szCs w:val="24"/>
                <w:highlight w:val="none"/>
              </w:rPr>
            </w:pPr>
            <w:r>
              <w:rPr>
                <w:rFonts w:hint="eastAsia" w:ascii="宋体" w:hAnsi="宋体" w:cs="宋体"/>
                <w:color w:val="auto"/>
                <w:kern w:val="0"/>
                <w:szCs w:val="21"/>
                <w:highlight w:val="none"/>
                <w:lang w:bidi="ar"/>
              </w:rPr>
              <w:t>●</w:t>
            </w:r>
            <w:r>
              <w:rPr>
                <w:rStyle w:val="60"/>
                <w:rFonts w:hint="default"/>
                <w:color w:val="auto"/>
                <w:highlight w:val="none"/>
              </w:rPr>
              <w:t>9、</w:t>
            </w:r>
            <w:r>
              <w:rPr>
                <w:rStyle w:val="56"/>
                <w:rFonts w:hint="default"/>
                <w:color w:val="auto"/>
                <w:highlight w:val="none"/>
              </w:rPr>
              <w:t>K4100D柴油机加工制作底座，制作燃油管路接入机舱燃油系统。</w:t>
            </w:r>
            <w:r>
              <w:rPr>
                <w:rStyle w:val="61"/>
                <w:rFonts w:hint="default"/>
                <w:color w:val="auto"/>
                <w:highlight w:val="none"/>
              </w:rPr>
              <w:t>（响应文件需提供设备固定、辅助系统布置图纸及施工方案。）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p>
        </w:tc>
      </w:tr>
      <w:tr>
        <w:tblPrEx>
          <w:tblCellMar>
            <w:top w:w="0" w:type="dxa"/>
            <w:left w:w="108" w:type="dxa"/>
            <w:bottom w:w="0" w:type="dxa"/>
            <w:right w:w="108" w:type="dxa"/>
          </w:tblCellMar>
        </w:tblPrEx>
        <w:trPr>
          <w:trHeight w:val="555" w:hRule="atLeast"/>
          <w:jc w:val="center"/>
        </w:trPr>
        <w:tc>
          <w:tcPr>
            <w:tcW w:w="450" w:type="dxa"/>
            <w:vMerge w:val="continue"/>
            <w:tcBorders>
              <w:left w:val="single" w:color="000000" w:sz="8" w:space="0"/>
              <w:right w:val="single" w:color="000000" w:sz="8" w:space="0"/>
            </w:tcBorders>
            <w:shd w:val="clear" w:color="auto" w:fill="auto"/>
          </w:tcPr>
          <w:p>
            <w:pPr>
              <w:rPr>
                <w:rFonts w:ascii="宋体" w:hAnsi="宋体" w:cs="宋体"/>
                <w:b/>
                <w:bCs/>
                <w:color w:val="auto"/>
                <w:sz w:val="24"/>
                <w:szCs w:val="24"/>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6705" w:type="dxa"/>
            <w:gridSpan w:val="9"/>
            <w:tcBorders>
              <w:top w:val="single" w:color="000000" w:sz="4" w:space="0"/>
              <w:left w:val="single" w:color="000000" w:sz="4" w:space="0"/>
              <w:bottom w:val="single" w:color="000000" w:sz="4" w:space="0"/>
              <w:right w:val="single" w:color="000000" w:sz="4" w:space="0"/>
            </w:tcBorders>
            <w:shd w:val="clear" w:color="auto" w:fill="auto"/>
          </w:tcPr>
          <w:p>
            <w:pPr>
              <w:widowControl/>
              <w:textAlignment w:val="top"/>
              <w:rPr>
                <w:rFonts w:ascii="宋体" w:hAnsi="宋体" w:cs="宋体"/>
                <w:color w:val="auto"/>
                <w:sz w:val="24"/>
                <w:szCs w:val="24"/>
                <w:highlight w:val="none"/>
              </w:rPr>
            </w:pPr>
            <w:r>
              <w:rPr>
                <w:rFonts w:hint="eastAsia" w:ascii="宋体" w:hAnsi="宋体" w:cs="宋体"/>
                <w:color w:val="auto"/>
                <w:kern w:val="0"/>
                <w:szCs w:val="21"/>
                <w:highlight w:val="none"/>
                <w:lang w:bidi="ar"/>
              </w:rPr>
              <w:t>●</w:t>
            </w:r>
            <w:r>
              <w:rPr>
                <w:rStyle w:val="60"/>
                <w:rFonts w:hint="default"/>
                <w:color w:val="auto"/>
                <w:highlight w:val="none"/>
              </w:rPr>
              <w:t>10、</w:t>
            </w:r>
            <w:r>
              <w:rPr>
                <w:rStyle w:val="56"/>
                <w:rFonts w:hint="default"/>
                <w:color w:val="auto"/>
                <w:highlight w:val="none"/>
              </w:rPr>
              <w:t>BJ-2/2吨液压吊机搬迁,预制底座，固定。</w:t>
            </w:r>
            <w:r>
              <w:rPr>
                <w:rStyle w:val="61"/>
                <w:rFonts w:hint="default"/>
                <w:color w:val="auto"/>
                <w:highlight w:val="none"/>
              </w:rPr>
              <w:t>（响应文件需提供设备固定图纸及、施工方案。）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510"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6705" w:type="dxa"/>
            <w:gridSpan w:val="9"/>
            <w:tcBorders>
              <w:top w:val="single" w:color="000000" w:sz="4" w:space="0"/>
              <w:left w:val="single" w:color="000000" w:sz="4" w:space="0"/>
              <w:bottom w:val="single" w:color="000000" w:sz="4" w:space="0"/>
              <w:right w:val="single" w:color="000000" w:sz="4" w:space="0"/>
            </w:tcBorders>
            <w:shd w:val="clear" w:color="auto" w:fill="auto"/>
          </w:tcPr>
          <w:p>
            <w:pPr>
              <w:widowControl/>
              <w:textAlignment w:val="top"/>
              <w:rPr>
                <w:rFonts w:ascii="宋体" w:hAnsi="宋体" w:cs="宋体"/>
                <w:color w:val="auto"/>
                <w:szCs w:val="21"/>
                <w:highlight w:val="none"/>
              </w:rPr>
            </w:pPr>
            <w:r>
              <w:rPr>
                <w:rStyle w:val="56"/>
                <w:rFonts w:hint="default"/>
                <w:color w:val="auto"/>
                <w:highlight w:val="none"/>
              </w:rPr>
              <w:t>11、配电控制箱1套搬迁，根据新场地设备实际布置情况布线。</w:t>
            </w:r>
          </w:p>
        </w:tc>
        <w:tc>
          <w:tcPr>
            <w:tcW w:w="1320" w:type="dxa"/>
            <w:tcBorders>
              <w:top w:val="nil"/>
              <w:left w:val="nil"/>
              <w:bottom w:val="nil"/>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1335"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6705" w:type="dxa"/>
            <w:gridSpan w:val="9"/>
            <w:tcBorders>
              <w:top w:val="single" w:color="000000" w:sz="4" w:space="0"/>
              <w:left w:val="single" w:color="000000" w:sz="4" w:space="0"/>
              <w:bottom w:val="single" w:color="000000" w:sz="4" w:space="0"/>
              <w:right w:val="single" w:color="000000" w:sz="4" w:space="0"/>
            </w:tcBorders>
            <w:shd w:val="clear" w:color="auto" w:fill="auto"/>
          </w:tcPr>
          <w:p>
            <w:pPr>
              <w:widowControl/>
              <w:textAlignment w:val="top"/>
              <w:rPr>
                <w:rFonts w:ascii="宋体" w:hAnsi="宋体" w:cs="宋体"/>
                <w:color w:val="auto"/>
                <w:sz w:val="24"/>
                <w:szCs w:val="24"/>
                <w:highlight w:val="none"/>
              </w:rPr>
            </w:pPr>
            <w:r>
              <w:rPr>
                <w:rFonts w:hint="eastAsia" w:ascii="宋体" w:hAnsi="宋体" w:cs="宋体"/>
                <w:color w:val="auto"/>
                <w:kern w:val="0"/>
                <w:szCs w:val="21"/>
                <w:highlight w:val="none"/>
                <w:lang w:bidi="ar"/>
              </w:rPr>
              <w:t>●</w:t>
            </w:r>
            <w:r>
              <w:rPr>
                <w:rStyle w:val="60"/>
                <w:rFonts w:hint="default"/>
                <w:color w:val="auto"/>
                <w:highlight w:val="none"/>
              </w:rPr>
              <w:t>12、</w:t>
            </w:r>
            <w:r>
              <w:rPr>
                <w:rStyle w:val="56"/>
                <w:rFonts w:hint="default"/>
                <w:color w:val="auto"/>
                <w:highlight w:val="none"/>
              </w:rPr>
              <w:t>放空6350、6160、4135可运行柴油机油底壳及循环油柜内润滑油，清洁油底壳、放空冷却水，放空燃油储存柜、日用柜，并合理处理费油。设备装复后按原数量新加柴油及润滑油。</w:t>
            </w:r>
            <w:r>
              <w:rPr>
                <w:rStyle w:val="61"/>
                <w:rFonts w:hint="default"/>
                <w:color w:val="auto"/>
                <w:highlight w:val="none"/>
              </w:rPr>
              <w:t>（响应文件需提供施工方案、费油处理方案。）</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70"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670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auto"/>
                <w:sz w:val="22"/>
                <w:szCs w:val="22"/>
                <w:highlight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auto"/>
                <w:sz w:val="22"/>
                <w:szCs w:val="22"/>
                <w:highlight w:val="none"/>
              </w:rPr>
            </w:pPr>
          </w:p>
        </w:tc>
      </w:tr>
      <w:tr>
        <w:tblPrEx>
          <w:tblCellMar>
            <w:top w:w="0" w:type="dxa"/>
            <w:left w:w="108" w:type="dxa"/>
            <w:bottom w:w="0" w:type="dxa"/>
            <w:right w:w="108" w:type="dxa"/>
          </w:tblCellMar>
        </w:tblPrEx>
        <w:trPr>
          <w:trHeight w:val="300"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6705" w:type="dxa"/>
            <w:gridSpan w:val="9"/>
            <w:tcBorders>
              <w:top w:val="nil"/>
              <w:left w:val="single" w:color="000000" w:sz="8" w:space="0"/>
              <w:bottom w:val="nil"/>
              <w:right w:val="single" w:color="000000" w:sz="8" w:space="0"/>
            </w:tcBorders>
            <w:shd w:val="clear" w:color="auto" w:fill="auto"/>
          </w:tcPr>
          <w:p>
            <w:pPr>
              <w:widowControl/>
              <w:textAlignment w:val="top"/>
              <w:rPr>
                <w:rFonts w:ascii="宋体" w:hAnsi="宋体" w:cs="宋体"/>
                <w:color w:val="auto"/>
                <w:szCs w:val="21"/>
                <w:highlight w:val="none"/>
              </w:rPr>
            </w:pPr>
            <w:r>
              <w:rPr>
                <w:rStyle w:val="56"/>
                <w:rFonts w:hint="default"/>
                <w:b/>
                <w:bCs/>
                <w:color w:val="auto"/>
                <w:highlight w:val="none"/>
              </w:rPr>
              <w:t>动力设备操作实训室设备辅助材料清单如下：</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300"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b/>
                <w:bCs/>
                <w:color w:val="auto"/>
                <w:sz w:val="24"/>
                <w:szCs w:val="24"/>
                <w:highlight w:val="none"/>
              </w:rPr>
            </w:pPr>
            <w:r>
              <w:rPr>
                <w:rStyle w:val="55"/>
                <w:b/>
                <w:bCs/>
                <w:color w:val="auto"/>
                <w:highlight w:val="none"/>
              </w:rPr>
              <w:t>序号</w:t>
            </w:r>
          </w:p>
        </w:tc>
        <w:tc>
          <w:tcPr>
            <w:tcW w:w="1590" w:type="dxa"/>
            <w:gridSpan w:val="2"/>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b/>
                <w:bCs/>
                <w:color w:val="auto"/>
                <w:sz w:val="24"/>
                <w:szCs w:val="24"/>
                <w:highlight w:val="none"/>
              </w:rPr>
            </w:pPr>
            <w:r>
              <w:rPr>
                <w:rStyle w:val="55"/>
                <w:b/>
                <w:bCs/>
                <w:color w:val="auto"/>
                <w:highlight w:val="none"/>
              </w:rPr>
              <w:t>材料名称</w:t>
            </w:r>
          </w:p>
        </w:tc>
        <w:tc>
          <w:tcPr>
            <w:tcW w:w="2655" w:type="dxa"/>
            <w:gridSpan w:val="3"/>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b/>
                <w:bCs/>
                <w:color w:val="auto"/>
                <w:sz w:val="24"/>
                <w:szCs w:val="24"/>
                <w:highlight w:val="none"/>
              </w:rPr>
            </w:pPr>
            <w:r>
              <w:rPr>
                <w:rStyle w:val="55"/>
                <w:b/>
                <w:bCs/>
                <w:color w:val="auto"/>
                <w:highlight w:val="none"/>
              </w:rPr>
              <w:t>规格</w:t>
            </w:r>
          </w:p>
        </w:tc>
        <w:tc>
          <w:tcPr>
            <w:tcW w:w="810" w:type="dxa"/>
            <w:gridSpan w:val="2"/>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b/>
                <w:bCs/>
                <w:color w:val="auto"/>
                <w:sz w:val="24"/>
                <w:szCs w:val="24"/>
                <w:highlight w:val="none"/>
              </w:rPr>
            </w:pPr>
            <w:r>
              <w:rPr>
                <w:rStyle w:val="55"/>
                <w:b/>
                <w:bCs/>
                <w:color w:val="auto"/>
                <w:highlight w:val="none"/>
              </w:rPr>
              <w:t>单位</w:t>
            </w:r>
          </w:p>
        </w:tc>
        <w:tc>
          <w:tcPr>
            <w:tcW w:w="930" w:type="dxa"/>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b/>
                <w:bCs/>
                <w:color w:val="auto"/>
                <w:sz w:val="24"/>
                <w:szCs w:val="24"/>
                <w:highlight w:val="none"/>
              </w:rPr>
            </w:pPr>
            <w:r>
              <w:rPr>
                <w:rStyle w:val="55"/>
                <w:b/>
                <w:bCs/>
                <w:color w:val="auto"/>
                <w:highlight w:val="none"/>
              </w:rPr>
              <w:t>数量</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闸阀</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6125      CB466-95</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color w:val="auto"/>
                <w:sz w:val="22"/>
                <w:szCs w:val="22"/>
                <w:highlight w:val="none"/>
              </w:rPr>
            </w:pPr>
            <w:r>
              <w:rPr>
                <w:color w:val="auto"/>
                <w:kern w:val="0"/>
                <w:sz w:val="22"/>
                <w:szCs w:val="22"/>
                <w:highlight w:val="none"/>
              </w:rPr>
              <w:t>2</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2</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吸入粗水滤器</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A125     CB497-94</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color w:val="auto"/>
                <w:sz w:val="22"/>
                <w:szCs w:val="22"/>
                <w:highlight w:val="none"/>
              </w:rPr>
            </w:pPr>
            <w:r>
              <w:rPr>
                <w:color w:val="auto"/>
                <w:kern w:val="0"/>
                <w:sz w:val="22"/>
                <w:szCs w:val="22"/>
                <w:highlight w:val="none"/>
              </w:rPr>
              <w:t>1</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3</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截止阀</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A10080   GB/T584-99</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color w:val="auto"/>
                <w:sz w:val="22"/>
                <w:szCs w:val="22"/>
                <w:highlight w:val="none"/>
              </w:rPr>
            </w:pPr>
            <w:r>
              <w:rPr>
                <w:color w:val="auto"/>
                <w:kern w:val="0"/>
                <w:sz w:val="22"/>
                <w:szCs w:val="22"/>
                <w:highlight w:val="none"/>
              </w:rPr>
              <w:t>4</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4</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截止阀</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A10065   GB/T584-99</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color w:val="auto"/>
                <w:sz w:val="22"/>
                <w:szCs w:val="22"/>
                <w:highlight w:val="none"/>
              </w:rPr>
            </w:pPr>
            <w:r>
              <w:rPr>
                <w:color w:val="auto"/>
                <w:kern w:val="0"/>
                <w:sz w:val="22"/>
                <w:szCs w:val="22"/>
                <w:highlight w:val="none"/>
              </w:rPr>
              <w:t>3</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5</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截止阀</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A25050   GB/T584-99</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6</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6</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截止阀</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A25040   GB/T584-99</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13</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7</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截止阀</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A25032   GB/T584-99</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8</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截止阀</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A25025   GB/T584-99</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6</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auto" w:sz="4"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9</w:t>
            </w:r>
          </w:p>
        </w:tc>
        <w:tc>
          <w:tcPr>
            <w:tcW w:w="1590" w:type="dxa"/>
            <w:gridSpan w:val="2"/>
            <w:tcBorders>
              <w:top w:val="nil"/>
              <w:left w:val="nil"/>
              <w:bottom w:val="single" w:color="auto" w:sz="4"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截止阀</w:t>
            </w:r>
          </w:p>
        </w:tc>
        <w:tc>
          <w:tcPr>
            <w:tcW w:w="2655" w:type="dxa"/>
            <w:gridSpan w:val="3"/>
            <w:tcBorders>
              <w:top w:val="nil"/>
              <w:left w:val="nil"/>
              <w:bottom w:val="single" w:color="auto" w:sz="4"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A25020   GB/T584-99</w:t>
            </w:r>
          </w:p>
        </w:tc>
        <w:tc>
          <w:tcPr>
            <w:tcW w:w="810" w:type="dxa"/>
            <w:gridSpan w:val="2"/>
            <w:tcBorders>
              <w:top w:val="nil"/>
              <w:left w:val="nil"/>
              <w:bottom w:val="single" w:color="auto" w:sz="4"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auto" w:sz="4"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3</w:t>
            </w:r>
          </w:p>
        </w:tc>
        <w:tc>
          <w:tcPr>
            <w:tcW w:w="1320" w:type="dxa"/>
            <w:vMerge w:val="restart"/>
            <w:tcBorders>
              <w:top w:val="nil"/>
              <w:left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single" w:color="auto" w:sz="4"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10</w:t>
            </w:r>
          </w:p>
        </w:tc>
        <w:tc>
          <w:tcPr>
            <w:tcW w:w="1590" w:type="dxa"/>
            <w:gridSpan w:val="2"/>
            <w:tcBorders>
              <w:top w:val="single" w:color="auto" w:sz="4" w:space="0"/>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截止止回阀</w:t>
            </w:r>
          </w:p>
        </w:tc>
        <w:tc>
          <w:tcPr>
            <w:tcW w:w="2655" w:type="dxa"/>
            <w:gridSpan w:val="3"/>
            <w:tcBorders>
              <w:top w:val="single" w:color="auto" w:sz="4" w:space="0"/>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A25040   GB/T585-99</w:t>
            </w:r>
          </w:p>
        </w:tc>
        <w:tc>
          <w:tcPr>
            <w:tcW w:w="810" w:type="dxa"/>
            <w:gridSpan w:val="2"/>
            <w:tcBorders>
              <w:top w:val="single" w:color="auto" w:sz="4" w:space="0"/>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single" w:color="auto" w:sz="4" w:space="0"/>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2</w:t>
            </w:r>
          </w:p>
        </w:tc>
        <w:tc>
          <w:tcPr>
            <w:tcW w:w="1320" w:type="dxa"/>
            <w:vMerge w:val="continue"/>
            <w:tcBorders>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11</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截止止回阀</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A25020   GB/T585-99</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4</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12</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截止阀</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A40020   GB594-83</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11</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13</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截止阀</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A40032   GB595-83</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14</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截止阀</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A40025   GB595-83</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15</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截止阀</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A40020   GB595-83</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4</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16</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截止阀</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A40015   GB595-83</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3</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17</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截止阀</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A40010   GB595-83</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2</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18</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截止止回阀</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A40025   GB596-83</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19</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截止止回阀</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A40020   GB596-83</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2</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20</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船用手动快关阀</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AS40    GB/T5744-93</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21</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船用手动快关阀</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AS32    GB/T5744-93</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22</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消防栓</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B10040  GB/T2032-93</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23</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二联截止阀箱</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R10040  GB/T1854-93</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24</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粗油滤器</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A4050     CB425-81</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25</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粗油滤器</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A4040     CB425-81</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26</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液流观察器</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J2565     CB/T422-93</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auto" w:sz="4"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27</w:t>
            </w:r>
          </w:p>
        </w:tc>
        <w:tc>
          <w:tcPr>
            <w:tcW w:w="1590" w:type="dxa"/>
            <w:gridSpan w:val="2"/>
            <w:tcBorders>
              <w:top w:val="nil"/>
              <w:left w:val="nil"/>
              <w:bottom w:val="single" w:color="auto" w:sz="4"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液流观察器</w:t>
            </w:r>
          </w:p>
        </w:tc>
        <w:tc>
          <w:tcPr>
            <w:tcW w:w="2655" w:type="dxa"/>
            <w:gridSpan w:val="3"/>
            <w:tcBorders>
              <w:top w:val="nil"/>
              <w:left w:val="nil"/>
              <w:bottom w:val="single" w:color="auto" w:sz="4"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J4040     CB/T422-93</w:t>
            </w:r>
          </w:p>
        </w:tc>
        <w:tc>
          <w:tcPr>
            <w:tcW w:w="810" w:type="dxa"/>
            <w:gridSpan w:val="2"/>
            <w:tcBorders>
              <w:top w:val="nil"/>
              <w:left w:val="nil"/>
              <w:bottom w:val="single" w:color="auto" w:sz="4"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auto" w:sz="4"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w:t>
            </w:r>
          </w:p>
        </w:tc>
        <w:tc>
          <w:tcPr>
            <w:tcW w:w="1320" w:type="dxa"/>
            <w:vMerge w:val="restart"/>
            <w:tcBorders>
              <w:top w:val="nil"/>
              <w:left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single" w:color="auto" w:sz="4"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28</w:t>
            </w:r>
          </w:p>
        </w:tc>
        <w:tc>
          <w:tcPr>
            <w:tcW w:w="1590" w:type="dxa"/>
            <w:gridSpan w:val="2"/>
            <w:tcBorders>
              <w:top w:val="single" w:color="auto" w:sz="4" w:space="0"/>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不锈钢波形膨胀节</w:t>
            </w:r>
          </w:p>
        </w:tc>
        <w:tc>
          <w:tcPr>
            <w:tcW w:w="2655" w:type="dxa"/>
            <w:gridSpan w:val="3"/>
            <w:tcBorders>
              <w:top w:val="single" w:color="auto" w:sz="4" w:space="0"/>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350      GB12522-90</w:t>
            </w:r>
          </w:p>
        </w:tc>
        <w:tc>
          <w:tcPr>
            <w:tcW w:w="810" w:type="dxa"/>
            <w:gridSpan w:val="2"/>
            <w:tcBorders>
              <w:top w:val="single" w:color="auto" w:sz="4" w:space="0"/>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single" w:color="auto" w:sz="4" w:space="0"/>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w:t>
            </w:r>
          </w:p>
        </w:tc>
        <w:tc>
          <w:tcPr>
            <w:tcW w:w="1320" w:type="dxa"/>
            <w:vMerge w:val="continue"/>
            <w:tcBorders>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29</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汽水分离器</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20        CB423-77</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2</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30</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空气滤器</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20        CB421-77</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2</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31</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吸入口</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A50      CB495-77</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32</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吸入口</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A40      CB495-77</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33</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注入头</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A40      CB413-80</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34</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带防火网空气管头</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AGH     GB1858-80</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3</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35</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压力表阀</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A40006   CB312-77</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22</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36</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压力表阀</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B100006  CB312-77</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3</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37</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压力表</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 xml:space="preserve">YC-100T   </w:t>
            </w:r>
            <w:r>
              <w:rPr>
                <w:rStyle w:val="63"/>
                <w:rFonts w:hint="default"/>
                <w:color w:val="auto"/>
                <w:highlight w:val="none"/>
              </w:rPr>
              <w:t xml:space="preserve"> 0-0.6MP</w:t>
            </w:r>
            <w:r>
              <w:rPr>
                <w:rStyle w:val="64"/>
                <w:rFonts w:hint="default"/>
                <w:color w:val="auto"/>
                <w:highlight w:val="none"/>
              </w:rPr>
              <w:t>a</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11</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38</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压力表</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 xml:space="preserve">YC-100T   </w:t>
            </w:r>
            <w:r>
              <w:rPr>
                <w:rStyle w:val="63"/>
                <w:rFonts w:hint="default"/>
                <w:color w:val="auto"/>
                <w:highlight w:val="none"/>
              </w:rPr>
              <w:t xml:space="preserve"> 0-1.6MP</w:t>
            </w:r>
            <w:r>
              <w:rPr>
                <w:rStyle w:val="64"/>
                <w:rFonts w:hint="default"/>
                <w:color w:val="auto"/>
                <w:highlight w:val="none"/>
              </w:rPr>
              <w:t>a</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39</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压力表</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 xml:space="preserve">YC-100T   </w:t>
            </w:r>
            <w:r>
              <w:rPr>
                <w:rStyle w:val="63"/>
                <w:rFonts w:hint="default"/>
                <w:color w:val="auto"/>
                <w:highlight w:val="none"/>
              </w:rPr>
              <w:t xml:space="preserve"> 0-6.0MP</w:t>
            </w:r>
            <w:r>
              <w:rPr>
                <w:rStyle w:val="64"/>
                <w:rFonts w:hint="default"/>
                <w:color w:val="auto"/>
                <w:highlight w:val="none"/>
              </w:rPr>
              <w:t>a</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3</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40</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压力真空表</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 xml:space="preserve">YZC-100T </w:t>
            </w:r>
            <w:r>
              <w:rPr>
                <w:rStyle w:val="63"/>
                <w:rFonts w:hint="default"/>
                <w:color w:val="auto"/>
                <w:highlight w:val="none"/>
              </w:rPr>
              <w:t>.1-0-0.1MP</w:t>
            </w:r>
            <w:r>
              <w:rPr>
                <w:rStyle w:val="64"/>
                <w:rFonts w:hint="default"/>
                <w:color w:val="auto"/>
                <w:highlight w:val="none"/>
              </w:rPr>
              <w:t>a</w:t>
            </w:r>
            <w:r>
              <w:rPr>
                <w:rStyle w:val="63"/>
                <w:rFonts w:hint="default"/>
                <w:color w:val="auto"/>
                <w:highlight w:val="none"/>
              </w:rPr>
              <w:t xml:space="preserve"> </w:t>
            </w:r>
            <w:r>
              <w:rPr>
                <w:rStyle w:val="58"/>
                <w:rFonts w:hint="default"/>
                <w:color w:val="auto"/>
                <w:highlight w:val="none"/>
              </w:rPr>
              <w:t xml:space="preserve">   </w:t>
            </w:r>
            <w:r>
              <w:rPr>
                <w:rStyle w:val="63"/>
                <w:rFonts w:hint="default"/>
                <w:color w:val="auto"/>
                <w:highlight w:val="none"/>
              </w:rPr>
              <w:t xml:space="preserve"> </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10</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41</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差示压力表</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 xml:space="preserve">YCS-100T   </w:t>
            </w:r>
            <w:r>
              <w:rPr>
                <w:rStyle w:val="63"/>
                <w:rFonts w:hint="default"/>
                <w:color w:val="auto"/>
                <w:highlight w:val="none"/>
              </w:rPr>
              <w:t>0-0.6MP</w:t>
            </w:r>
            <w:r>
              <w:rPr>
                <w:rStyle w:val="64"/>
                <w:rFonts w:hint="default"/>
                <w:color w:val="auto"/>
                <w:highlight w:val="none"/>
              </w:rPr>
              <w:t>a</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42</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金属护套温度计</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WNG-11B   0-120</w:t>
            </w:r>
            <w:r>
              <w:rPr>
                <w:rStyle w:val="63"/>
                <w:rFonts w:hint="default"/>
                <w:color w:val="auto"/>
                <w:highlight w:val="none"/>
              </w:rPr>
              <w:t xml:space="preserve"> º</w:t>
            </w:r>
            <w:r>
              <w:rPr>
                <w:rStyle w:val="58"/>
                <w:rFonts w:hint="default"/>
                <w:color w:val="auto"/>
                <w:highlight w:val="none"/>
              </w:rPr>
              <w:t>C</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11</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43</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板式液位计</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ULB-3C/F-1000</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2</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44</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板式液位计</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ULB-3C/F-600</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3</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45</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板式液位计</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ULB-3C/F-400</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2</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46</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人孔盖</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B500X400-6 /T19-2001</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5</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auto" w:sz="4"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47</w:t>
            </w:r>
          </w:p>
        </w:tc>
        <w:tc>
          <w:tcPr>
            <w:tcW w:w="1590" w:type="dxa"/>
            <w:gridSpan w:val="2"/>
            <w:tcBorders>
              <w:top w:val="nil"/>
              <w:left w:val="nil"/>
              <w:bottom w:val="single" w:color="auto" w:sz="4"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手孔盖</w:t>
            </w:r>
          </w:p>
        </w:tc>
        <w:tc>
          <w:tcPr>
            <w:tcW w:w="2655" w:type="dxa"/>
            <w:gridSpan w:val="3"/>
            <w:tcBorders>
              <w:top w:val="nil"/>
              <w:left w:val="nil"/>
              <w:bottom w:val="single" w:color="auto" w:sz="4"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B350X5    CB283-84</w:t>
            </w:r>
          </w:p>
        </w:tc>
        <w:tc>
          <w:tcPr>
            <w:tcW w:w="810" w:type="dxa"/>
            <w:gridSpan w:val="2"/>
            <w:tcBorders>
              <w:top w:val="nil"/>
              <w:left w:val="nil"/>
              <w:bottom w:val="single" w:color="auto" w:sz="4"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auto" w:sz="4"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2</w:t>
            </w:r>
          </w:p>
        </w:tc>
        <w:tc>
          <w:tcPr>
            <w:tcW w:w="1320" w:type="dxa"/>
            <w:vMerge w:val="restart"/>
            <w:tcBorders>
              <w:top w:val="nil"/>
              <w:left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single" w:color="auto" w:sz="4"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48</w:t>
            </w:r>
          </w:p>
        </w:tc>
        <w:tc>
          <w:tcPr>
            <w:tcW w:w="1590" w:type="dxa"/>
            <w:gridSpan w:val="2"/>
            <w:tcBorders>
              <w:top w:val="single" w:color="auto" w:sz="4" w:space="0"/>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吸入止回阀</w:t>
            </w:r>
          </w:p>
        </w:tc>
        <w:tc>
          <w:tcPr>
            <w:tcW w:w="2655" w:type="dxa"/>
            <w:gridSpan w:val="3"/>
            <w:tcBorders>
              <w:top w:val="single" w:color="auto" w:sz="4" w:space="0"/>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R32T    CB/T3478-92</w:t>
            </w:r>
          </w:p>
        </w:tc>
        <w:tc>
          <w:tcPr>
            <w:tcW w:w="810" w:type="dxa"/>
            <w:gridSpan w:val="2"/>
            <w:tcBorders>
              <w:top w:val="single" w:color="auto" w:sz="4" w:space="0"/>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single" w:color="auto" w:sz="4" w:space="0"/>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w:t>
            </w:r>
          </w:p>
        </w:tc>
        <w:tc>
          <w:tcPr>
            <w:tcW w:w="1320" w:type="dxa"/>
            <w:vMerge w:val="continue"/>
            <w:tcBorders>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49</w:t>
            </w:r>
          </w:p>
        </w:tc>
        <w:tc>
          <w:tcPr>
            <w:tcW w:w="1590" w:type="dxa"/>
            <w:gridSpan w:val="2"/>
            <w:tcBorders>
              <w:top w:val="nil"/>
              <w:left w:val="nil"/>
              <w:bottom w:val="single" w:color="000000" w:sz="8" w:space="0"/>
              <w:right w:val="single" w:color="000000" w:sz="8" w:space="0"/>
            </w:tcBorders>
            <w:shd w:val="clear" w:color="auto" w:fill="auto"/>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吸入滤网</w:t>
            </w:r>
          </w:p>
        </w:tc>
        <w:tc>
          <w:tcPr>
            <w:tcW w:w="2655" w:type="dxa"/>
            <w:gridSpan w:val="3"/>
            <w:tcBorders>
              <w:top w:val="nil"/>
              <w:left w:val="nil"/>
              <w:bottom w:val="single" w:color="000000" w:sz="8" w:space="0"/>
              <w:right w:val="single" w:color="000000" w:sz="8" w:space="0"/>
            </w:tcBorders>
            <w:shd w:val="clear" w:color="auto" w:fill="auto"/>
            <w:vAlign w:val="center"/>
          </w:tcPr>
          <w:p>
            <w:pPr>
              <w:widowControl/>
              <w:textAlignment w:val="center"/>
              <w:rPr>
                <w:color w:val="auto"/>
                <w:sz w:val="22"/>
                <w:szCs w:val="22"/>
                <w:highlight w:val="none"/>
              </w:rPr>
            </w:pPr>
            <w:r>
              <w:rPr>
                <w:rStyle w:val="58"/>
                <w:rFonts w:hint="default"/>
                <w:color w:val="auto"/>
                <w:highlight w:val="none"/>
              </w:rPr>
              <w:t>A32      CB623-80</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只</w:t>
            </w:r>
          </w:p>
        </w:tc>
        <w:tc>
          <w:tcPr>
            <w:tcW w:w="930" w:type="dxa"/>
            <w:tcBorders>
              <w:top w:val="nil"/>
              <w:left w:val="nil"/>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1</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50</w:t>
            </w:r>
          </w:p>
        </w:tc>
        <w:tc>
          <w:tcPr>
            <w:tcW w:w="1590" w:type="dxa"/>
            <w:gridSpan w:val="2"/>
            <w:tcBorders>
              <w:top w:val="nil"/>
              <w:left w:val="nil"/>
              <w:bottom w:val="single" w:color="000000" w:sz="8" w:space="0"/>
              <w:right w:val="single" w:color="000000" w:sz="8" w:space="0"/>
            </w:tcBorders>
            <w:shd w:val="clear" w:color="auto" w:fill="auto"/>
          </w:tcPr>
          <w:p>
            <w:pPr>
              <w:widowControl/>
              <w:textAlignment w:val="top"/>
              <w:rPr>
                <w:rFonts w:ascii="宋体" w:hAnsi="宋体" w:cs="宋体"/>
                <w:color w:val="auto"/>
                <w:sz w:val="22"/>
                <w:szCs w:val="22"/>
                <w:highlight w:val="none"/>
              </w:rPr>
            </w:pPr>
            <w:r>
              <w:rPr>
                <w:rStyle w:val="63"/>
                <w:rFonts w:hint="default"/>
                <w:color w:val="auto"/>
                <w:highlight w:val="none"/>
              </w:rPr>
              <w:t>镀锌水煤气钢管</w:t>
            </w:r>
          </w:p>
        </w:tc>
        <w:tc>
          <w:tcPr>
            <w:tcW w:w="2655" w:type="dxa"/>
            <w:gridSpan w:val="3"/>
            <w:tcBorders>
              <w:top w:val="nil"/>
              <w:left w:val="nil"/>
              <w:bottom w:val="single" w:color="000000" w:sz="8" w:space="0"/>
              <w:right w:val="single" w:color="000000" w:sz="8" w:space="0"/>
            </w:tcBorders>
            <w:shd w:val="clear" w:color="auto" w:fill="auto"/>
          </w:tcPr>
          <w:p>
            <w:pPr>
              <w:rPr>
                <w:rFonts w:ascii="宋体" w:hAnsi="宋体" w:cs="宋体"/>
                <w:color w:val="auto"/>
                <w:sz w:val="22"/>
                <w:szCs w:val="22"/>
                <w:highlight w:val="none"/>
              </w:rPr>
            </w:pP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m</w:t>
            </w:r>
          </w:p>
        </w:tc>
        <w:tc>
          <w:tcPr>
            <w:tcW w:w="930" w:type="dxa"/>
            <w:tcBorders>
              <w:top w:val="nil"/>
              <w:left w:val="nil"/>
              <w:bottom w:val="single" w:color="000000" w:sz="8" w:space="0"/>
              <w:right w:val="single" w:color="000000" w:sz="8" w:space="0"/>
            </w:tcBorders>
            <w:shd w:val="clear" w:color="auto" w:fill="auto"/>
          </w:tcPr>
          <w:p>
            <w:pPr>
              <w:widowControl/>
              <w:jc w:val="center"/>
              <w:textAlignment w:val="top"/>
              <w:rPr>
                <w:rFonts w:ascii="宋体" w:hAnsi="宋体" w:cs="宋体"/>
                <w:color w:val="auto"/>
                <w:sz w:val="22"/>
                <w:szCs w:val="22"/>
                <w:highlight w:val="none"/>
              </w:rPr>
            </w:pPr>
            <w:r>
              <w:rPr>
                <w:rFonts w:hint="eastAsia" w:ascii="宋体" w:hAnsi="宋体" w:cs="宋体"/>
                <w:color w:val="auto"/>
                <w:kern w:val="0"/>
                <w:sz w:val="22"/>
                <w:szCs w:val="22"/>
                <w:highlight w:val="none"/>
              </w:rPr>
              <w:t>1175</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51</w:t>
            </w:r>
          </w:p>
        </w:tc>
        <w:tc>
          <w:tcPr>
            <w:tcW w:w="1590" w:type="dxa"/>
            <w:gridSpan w:val="2"/>
            <w:tcBorders>
              <w:top w:val="nil"/>
              <w:left w:val="nil"/>
              <w:bottom w:val="single" w:color="000000" w:sz="8" w:space="0"/>
              <w:right w:val="single" w:color="000000" w:sz="8" w:space="0"/>
            </w:tcBorders>
            <w:shd w:val="clear" w:color="auto" w:fill="auto"/>
          </w:tcPr>
          <w:p>
            <w:pPr>
              <w:widowControl/>
              <w:textAlignment w:val="top"/>
              <w:rPr>
                <w:rFonts w:ascii="宋体" w:hAnsi="宋体" w:cs="宋体"/>
                <w:color w:val="auto"/>
                <w:sz w:val="22"/>
                <w:szCs w:val="22"/>
                <w:highlight w:val="none"/>
              </w:rPr>
            </w:pPr>
            <w:r>
              <w:rPr>
                <w:rStyle w:val="63"/>
                <w:rFonts w:hint="default"/>
                <w:color w:val="auto"/>
                <w:highlight w:val="none"/>
              </w:rPr>
              <w:t>镀锌无缝钢管</w:t>
            </w:r>
          </w:p>
        </w:tc>
        <w:tc>
          <w:tcPr>
            <w:tcW w:w="2655" w:type="dxa"/>
            <w:gridSpan w:val="3"/>
            <w:tcBorders>
              <w:top w:val="nil"/>
              <w:left w:val="nil"/>
              <w:bottom w:val="single" w:color="000000" w:sz="8" w:space="0"/>
              <w:right w:val="single" w:color="000000" w:sz="8" w:space="0"/>
            </w:tcBorders>
            <w:shd w:val="clear" w:color="auto" w:fill="auto"/>
          </w:tcPr>
          <w:p>
            <w:pPr>
              <w:rPr>
                <w:rFonts w:ascii="宋体" w:hAnsi="宋体" w:cs="宋体"/>
                <w:color w:val="auto"/>
                <w:sz w:val="22"/>
                <w:szCs w:val="22"/>
                <w:highlight w:val="none"/>
              </w:rPr>
            </w:pP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m</w:t>
            </w:r>
          </w:p>
        </w:tc>
        <w:tc>
          <w:tcPr>
            <w:tcW w:w="930" w:type="dxa"/>
            <w:tcBorders>
              <w:top w:val="nil"/>
              <w:left w:val="nil"/>
              <w:bottom w:val="single" w:color="000000" w:sz="8" w:space="0"/>
              <w:right w:val="single" w:color="000000" w:sz="8" w:space="0"/>
            </w:tcBorders>
            <w:shd w:val="clear" w:color="auto" w:fill="auto"/>
          </w:tcPr>
          <w:p>
            <w:pPr>
              <w:widowControl/>
              <w:jc w:val="center"/>
              <w:textAlignment w:val="top"/>
              <w:rPr>
                <w:rFonts w:ascii="宋体" w:hAnsi="宋体" w:cs="宋体"/>
                <w:color w:val="auto"/>
                <w:sz w:val="22"/>
                <w:szCs w:val="22"/>
                <w:highlight w:val="none"/>
              </w:rPr>
            </w:pPr>
            <w:r>
              <w:rPr>
                <w:rFonts w:hint="eastAsia" w:ascii="宋体" w:hAnsi="宋体" w:cs="宋体"/>
                <w:color w:val="auto"/>
                <w:kern w:val="0"/>
                <w:sz w:val="22"/>
                <w:szCs w:val="22"/>
                <w:highlight w:val="none"/>
              </w:rPr>
              <w:t>208</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52</w:t>
            </w:r>
          </w:p>
        </w:tc>
        <w:tc>
          <w:tcPr>
            <w:tcW w:w="1590" w:type="dxa"/>
            <w:gridSpan w:val="2"/>
            <w:tcBorders>
              <w:top w:val="nil"/>
              <w:left w:val="nil"/>
              <w:bottom w:val="single" w:color="000000" w:sz="8" w:space="0"/>
              <w:right w:val="single" w:color="000000" w:sz="8" w:space="0"/>
            </w:tcBorders>
            <w:shd w:val="clear" w:color="auto" w:fill="auto"/>
          </w:tcPr>
          <w:p>
            <w:pPr>
              <w:widowControl/>
              <w:textAlignment w:val="top"/>
              <w:rPr>
                <w:rFonts w:ascii="宋体" w:hAnsi="宋体" w:cs="宋体"/>
                <w:color w:val="auto"/>
                <w:sz w:val="22"/>
                <w:szCs w:val="22"/>
                <w:highlight w:val="none"/>
              </w:rPr>
            </w:pPr>
            <w:r>
              <w:rPr>
                <w:rStyle w:val="63"/>
                <w:rFonts w:hint="default"/>
                <w:color w:val="auto"/>
                <w:highlight w:val="none"/>
              </w:rPr>
              <w:t>无缝钢管</w:t>
            </w:r>
          </w:p>
        </w:tc>
        <w:tc>
          <w:tcPr>
            <w:tcW w:w="2655" w:type="dxa"/>
            <w:gridSpan w:val="3"/>
            <w:tcBorders>
              <w:top w:val="nil"/>
              <w:left w:val="nil"/>
              <w:bottom w:val="single" w:color="000000" w:sz="8" w:space="0"/>
              <w:right w:val="single" w:color="000000" w:sz="8" w:space="0"/>
            </w:tcBorders>
            <w:shd w:val="clear" w:color="auto" w:fill="auto"/>
          </w:tcPr>
          <w:p>
            <w:pPr>
              <w:rPr>
                <w:rFonts w:ascii="宋体" w:hAnsi="宋体" w:cs="宋体"/>
                <w:color w:val="auto"/>
                <w:sz w:val="22"/>
                <w:szCs w:val="22"/>
                <w:highlight w:val="none"/>
              </w:rPr>
            </w:pP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m</w:t>
            </w:r>
          </w:p>
        </w:tc>
        <w:tc>
          <w:tcPr>
            <w:tcW w:w="930" w:type="dxa"/>
            <w:tcBorders>
              <w:top w:val="nil"/>
              <w:left w:val="nil"/>
              <w:bottom w:val="single" w:color="000000" w:sz="8" w:space="0"/>
              <w:right w:val="single" w:color="000000" w:sz="8" w:space="0"/>
            </w:tcBorders>
            <w:shd w:val="clear" w:color="auto" w:fill="auto"/>
          </w:tcPr>
          <w:p>
            <w:pPr>
              <w:widowControl/>
              <w:jc w:val="center"/>
              <w:textAlignment w:val="top"/>
              <w:rPr>
                <w:rFonts w:ascii="宋体" w:hAnsi="宋体" w:cs="宋体"/>
                <w:color w:val="auto"/>
                <w:sz w:val="22"/>
                <w:szCs w:val="22"/>
                <w:highlight w:val="none"/>
              </w:rPr>
            </w:pPr>
            <w:r>
              <w:rPr>
                <w:rFonts w:hint="eastAsia" w:ascii="宋体" w:hAnsi="宋体" w:cs="宋体"/>
                <w:color w:val="auto"/>
                <w:kern w:val="0"/>
                <w:sz w:val="22"/>
                <w:szCs w:val="22"/>
                <w:highlight w:val="none"/>
              </w:rPr>
              <w:t>776</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53</w:t>
            </w:r>
          </w:p>
        </w:tc>
        <w:tc>
          <w:tcPr>
            <w:tcW w:w="1590" w:type="dxa"/>
            <w:gridSpan w:val="2"/>
            <w:tcBorders>
              <w:top w:val="nil"/>
              <w:left w:val="nil"/>
              <w:bottom w:val="single" w:color="000000" w:sz="8" w:space="0"/>
              <w:right w:val="single" w:color="000000" w:sz="8" w:space="0"/>
            </w:tcBorders>
            <w:shd w:val="clear" w:color="auto" w:fill="auto"/>
          </w:tcPr>
          <w:p>
            <w:pPr>
              <w:widowControl/>
              <w:textAlignment w:val="top"/>
              <w:rPr>
                <w:rFonts w:ascii="宋体" w:hAnsi="宋体" w:cs="宋体"/>
                <w:color w:val="auto"/>
                <w:sz w:val="22"/>
                <w:szCs w:val="22"/>
                <w:highlight w:val="none"/>
              </w:rPr>
            </w:pPr>
            <w:r>
              <w:rPr>
                <w:rStyle w:val="63"/>
                <w:rFonts w:hint="default"/>
                <w:color w:val="auto"/>
                <w:highlight w:val="none"/>
              </w:rPr>
              <w:t>钢板</w:t>
            </w:r>
          </w:p>
        </w:tc>
        <w:tc>
          <w:tcPr>
            <w:tcW w:w="2655" w:type="dxa"/>
            <w:gridSpan w:val="3"/>
            <w:tcBorders>
              <w:top w:val="nil"/>
              <w:left w:val="nil"/>
              <w:bottom w:val="single" w:color="000000" w:sz="8" w:space="0"/>
              <w:right w:val="single" w:color="000000" w:sz="8" w:space="0"/>
            </w:tcBorders>
            <w:shd w:val="clear" w:color="auto" w:fill="auto"/>
          </w:tcPr>
          <w:p>
            <w:pPr>
              <w:rPr>
                <w:rFonts w:ascii="宋体" w:hAnsi="宋体" w:cs="宋体"/>
                <w:color w:val="auto"/>
                <w:sz w:val="22"/>
                <w:szCs w:val="22"/>
                <w:highlight w:val="none"/>
              </w:rPr>
            </w:pP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kg</w:t>
            </w:r>
          </w:p>
        </w:tc>
        <w:tc>
          <w:tcPr>
            <w:tcW w:w="930" w:type="dxa"/>
            <w:tcBorders>
              <w:top w:val="nil"/>
              <w:left w:val="nil"/>
              <w:bottom w:val="single" w:color="000000" w:sz="8" w:space="0"/>
              <w:right w:val="single" w:color="000000" w:sz="8" w:space="0"/>
            </w:tcBorders>
            <w:shd w:val="clear" w:color="auto" w:fill="auto"/>
          </w:tcPr>
          <w:p>
            <w:pPr>
              <w:widowControl/>
              <w:jc w:val="center"/>
              <w:textAlignment w:val="top"/>
              <w:rPr>
                <w:rFonts w:ascii="宋体" w:hAnsi="宋体" w:cs="宋体"/>
                <w:color w:val="auto"/>
                <w:sz w:val="22"/>
                <w:szCs w:val="22"/>
                <w:highlight w:val="none"/>
              </w:rPr>
            </w:pPr>
            <w:r>
              <w:rPr>
                <w:rFonts w:hint="eastAsia" w:ascii="宋体" w:hAnsi="宋体" w:cs="宋体"/>
                <w:color w:val="auto"/>
                <w:kern w:val="0"/>
                <w:sz w:val="22"/>
                <w:szCs w:val="22"/>
                <w:highlight w:val="none"/>
              </w:rPr>
              <w:t>2994</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54</w:t>
            </w:r>
          </w:p>
        </w:tc>
        <w:tc>
          <w:tcPr>
            <w:tcW w:w="1590" w:type="dxa"/>
            <w:gridSpan w:val="2"/>
            <w:tcBorders>
              <w:top w:val="nil"/>
              <w:left w:val="nil"/>
              <w:bottom w:val="single" w:color="000000" w:sz="8" w:space="0"/>
              <w:right w:val="single" w:color="000000" w:sz="8" w:space="0"/>
            </w:tcBorders>
            <w:shd w:val="clear" w:color="auto" w:fill="auto"/>
          </w:tcPr>
          <w:p>
            <w:pPr>
              <w:widowControl/>
              <w:textAlignment w:val="top"/>
              <w:rPr>
                <w:rFonts w:ascii="宋体" w:hAnsi="宋体" w:cs="宋体"/>
                <w:color w:val="auto"/>
                <w:sz w:val="22"/>
                <w:szCs w:val="22"/>
                <w:highlight w:val="none"/>
              </w:rPr>
            </w:pPr>
            <w:r>
              <w:rPr>
                <w:rStyle w:val="63"/>
                <w:rFonts w:hint="default"/>
                <w:color w:val="auto"/>
                <w:highlight w:val="none"/>
              </w:rPr>
              <w:t>非标准法兰及座板钢料</w:t>
            </w:r>
          </w:p>
        </w:tc>
        <w:tc>
          <w:tcPr>
            <w:tcW w:w="2655" w:type="dxa"/>
            <w:gridSpan w:val="3"/>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22"/>
                <w:szCs w:val="22"/>
                <w:highlight w:val="none"/>
              </w:rPr>
            </w:pP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kg</w:t>
            </w:r>
          </w:p>
        </w:tc>
        <w:tc>
          <w:tcPr>
            <w:tcW w:w="930" w:type="dxa"/>
            <w:tcBorders>
              <w:top w:val="nil"/>
              <w:left w:val="nil"/>
              <w:bottom w:val="single" w:color="000000" w:sz="8" w:space="0"/>
              <w:right w:val="single" w:color="000000" w:sz="8" w:space="0"/>
            </w:tcBorders>
            <w:shd w:val="clear" w:color="auto" w:fill="auto"/>
          </w:tcPr>
          <w:p>
            <w:pPr>
              <w:widowControl/>
              <w:jc w:val="center"/>
              <w:textAlignment w:val="top"/>
              <w:rPr>
                <w:rFonts w:ascii="宋体" w:hAnsi="宋体" w:cs="宋体"/>
                <w:color w:val="auto"/>
                <w:sz w:val="22"/>
                <w:szCs w:val="22"/>
                <w:highlight w:val="none"/>
              </w:rPr>
            </w:pPr>
            <w:r>
              <w:rPr>
                <w:rFonts w:hint="eastAsia" w:ascii="宋体" w:hAnsi="宋体" w:cs="宋体"/>
                <w:color w:val="auto"/>
                <w:kern w:val="0"/>
                <w:sz w:val="22"/>
                <w:szCs w:val="22"/>
                <w:highlight w:val="none"/>
              </w:rPr>
              <w:t>500</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55</w:t>
            </w:r>
          </w:p>
        </w:tc>
        <w:tc>
          <w:tcPr>
            <w:tcW w:w="1590" w:type="dxa"/>
            <w:gridSpan w:val="2"/>
            <w:tcBorders>
              <w:top w:val="nil"/>
              <w:left w:val="nil"/>
              <w:bottom w:val="single" w:color="000000" w:sz="8" w:space="0"/>
              <w:right w:val="single" w:color="000000" w:sz="8" w:space="0"/>
            </w:tcBorders>
            <w:shd w:val="clear" w:color="auto" w:fill="auto"/>
          </w:tcPr>
          <w:p>
            <w:pPr>
              <w:widowControl/>
              <w:textAlignment w:val="top"/>
              <w:rPr>
                <w:rFonts w:ascii="宋体" w:hAnsi="宋体" w:cs="宋体"/>
                <w:color w:val="auto"/>
                <w:sz w:val="22"/>
                <w:szCs w:val="22"/>
                <w:highlight w:val="none"/>
              </w:rPr>
            </w:pPr>
            <w:r>
              <w:rPr>
                <w:rStyle w:val="63"/>
                <w:rFonts w:hint="default"/>
                <w:color w:val="auto"/>
                <w:highlight w:val="none"/>
              </w:rPr>
              <w:t>角钢、槽钢</w:t>
            </w:r>
          </w:p>
        </w:tc>
        <w:tc>
          <w:tcPr>
            <w:tcW w:w="2655" w:type="dxa"/>
            <w:gridSpan w:val="3"/>
            <w:tcBorders>
              <w:top w:val="nil"/>
              <w:left w:val="nil"/>
              <w:bottom w:val="single" w:color="000000" w:sz="8" w:space="0"/>
              <w:right w:val="single" w:color="000000" w:sz="8" w:space="0"/>
            </w:tcBorders>
            <w:shd w:val="clear" w:color="auto" w:fill="auto"/>
          </w:tcPr>
          <w:p>
            <w:pPr>
              <w:rPr>
                <w:rFonts w:ascii="宋体" w:hAnsi="宋体" w:cs="宋体"/>
                <w:color w:val="auto"/>
                <w:sz w:val="22"/>
                <w:szCs w:val="22"/>
                <w:highlight w:val="none"/>
              </w:rPr>
            </w:pP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kg</w:t>
            </w:r>
          </w:p>
        </w:tc>
        <w:tc>
          <w:tcPr>
            <w:tcW w:w="930" w:type="dxa"/>
            <w:tcBorders>
              <w:top w:val="nil"/>
              <w:left w:val="nil"/>
              <w:bottom w:val="single" w:color="000000" w:sz="8" w:space="0"/>
              <w:right w:val="single" w:color="000000" w:sz="8" w:space="0"/>
            </w:tcBorders>
            <w:shd w:val="clear" w:color="auto" w:fill="auto"/>
          </w:tcPr>
          <w:p>
            <w:pPr>
              <w:widowControl/>
              <w:jc w:val="center"/>
              <w:textAlignment w:val="top"/>
              <w:rPr>
                <w:rFonts w:ascii="宋体" w:hAnsi="宋体" w:cs="宋体"/>
                <w:color w:val="auto"/>
                <w:sz w:val="22"/>
                <w:szCs w:val="22"/>
                <w:highlight w:val="none"/>
              </w:rPr>
            </w:pPr>
            <w:r>
              <w:rPr>
                <w:rFonts w:hint="eastAsia" w:ascii="宋体" w:hAnsi="宋体" w:cs="宋体"/>
                <w:color w:val="auto"/>
                <w:kern w:val="0"/>
                <w:sz w:val="22"/>
                <w:szCs w:val="22"/>
                <w:highlight w:val="none"/>
              </w:rPr>
              <w:t>1280</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56</w:t>
            </w:r>
          </w:p>
        </w:tc>
        <w:tc>
          <w:tcPr>
            <w:tcW w:w="1590" w:type="dxa"/>
            <w:gridSpan w:val="2"/>
            <w:tcBorders>
              <w:top w:val="nil"/>
              <w:left w:val="nil"/>
              <w:bottom w:val="single" w:color="000000" w:sz="8" w:space="0"/>
              <w:right w:val="single" w:color="000000" w:sz="8" w:space="0"/>
            </w:tcBorders>
            <w:shd w:val="clear" w:color="auto" w:fill="auto"/>
          </w:tcPr>
          <w:p>
            <w:pPr>
              <w:widowControl/>
              <w:textAlignment w:val="top"/>
              <w:rPr>
                <w:rFonts w:ascii="宋体" w:hAnsi="宋体" w:cs="宋体"/>
                <w:color w:val="auto"/>
                <w:sz w:val="22"/>
                <w:szCs w:val="22"/>
                <w:highlight w:val="none"/>
              </w:rPr>
            </w:pPr>
            <w:r>
              <w:rPr>
                <w:rStyle w:val="63"/>
                <w:rFonts w:hint="default"/>
                <w:color w:val="auto"/>
                <w:highlight w:val="none"/>
              </w:rPr>
              <w:t>钢板网</w:t>
            </w:r>
          </w:p>
        </w:tc>
        <w:tc>
          <w:tcPr>
            <w:tcW w:w="2655" w:type="dxa"/>
            <w:gridSpan w:val="3"/>
            <w:tcBorders>
              <w:top w:val="nil"/>
              <w:left w:val="nil"/>
              <w:bottom w:val="single" w:color="000000" w:sz="8" w:space="0"/>
              <w:right w:val="single" w:color="000000" w:sz="8" w:space="0"/>
            </w:tcBorders>
            <w:shd w:val="clear" w:color="auto" w:fill="auto"/>
          </w:tcPr>
          <w:p>
            <w:pPr>
              <w:widowControl/>
              <w:textAlignment w:val="top"/>
              <w:rPr>
                <w:rFonts w:ascii="宋体" w:hAnsi="宋体" w:cs="宋体"/>
                <w:color w:val="auto"/>
                <w:sz w:val="22"/>
                <w:szCs w:val="22"/>
                <w:highlight w:val="none"/>
              </w:rPr>
            </w:pPr>
            <w:r>
              <w:rPr>
                <w:rStyle w:val="63"/>
                <w:rFonts w:hint="default"/>
                <w:color w:val="auto"/>
                <w:highlight w:val="none"/>
              </w:rPr>
              <w:t>δ8</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m</w:t>
            </w:r>
            <w:r>
              <w:rPr>
                <w:rStyle w:val="65"/>
                <w:rFonts w:hint="default"/>
                <w:color w:val="auto"/>
                <w:highlight w:val="none"/>
              </w:rPr>
              <w:t>2</w:t>
            </w:r>
          </w:p>
        </w:tc>
        <w:tc>
          <w:tcPr>
            <w:tcW w:w="930" w:type="dxa"/>
            <w:tcBorders>
              <w:top w:val="nil"/>
              <w:left w:val="nil"/>
              <w:bottom w:val="single" w:color="000000" w:sz="8" w:space="0"/>
              <w:right w:val="single" w:color="000000" w:sz="8" w:space="0"/>
            </w:tcBorders>
            <w:shd w:val="clear" w:color="auto" w:fill="auto"/>
          </w:tcPr>
          <w:p>
            <w:pPr>
              <w:widowControl/>
              <w:jc w:val="center"/>
              <w:textAlignment w:val="top"/>
              <w:rPr>
                <w:rFonts w:ascii="宋体" w:hAnsi="宋体" w:cs="宋体"/>
                <w:color w:val="auto"/>
                <w:sz w:val="22"/>
                <w:szCs w:val="22"/>
                <w:highlight w:val="none"/>
              </w:rPr>
            </w:pPr>
            <w:r>
              <w:rPr>
                <w:rFonts w:hint="eastAsia" w:ascii="宋体" w:hAnsi="宋体" w:cs="宋体"/>
                <w:color w:val="auto"/>
                <w:kern w:val="0"/>
                <w:sz w:val="22"/>
                <w:szCs w:val="22"/>
                <w:highlight w:val="none"/>
              </w:rPr>
              <w:t>26.4</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auto"/>
                <w:sz w:val="22"/>
                <w:szCs w:val="22"/>
                <w:highlight w:val="none"/>
              </w:rPr>
            </w:pPr>
            <w:r>
              <w:rPr>
                <w:color w:val="auto"/>
                <w:kern w:val="0"/>
                <w:sz w:val="22"/>
                <w:szCs w:val="22"/>
                <w:highlight w:val="none"/>
              </w:rPr>
              <w:t>57</w:t>
            </w:r>
          </w:p>
        </w:tc>
        <w:tc>
          <w:tcPr>
            <w:tcW w:w="1590" w:type="dxa"/>
            <w:gridSpan w:val="2"/>
            <w:tcBorders>
              <w:top w:val="nil"/>
              <w:left w:val="nil"/>
              <w:bottom w:val="single" w:color="000000" w:sz="8" w:space="0"/>
              <w:right w:val="single" w:color="000000" w:sz="8" w:space="0"/>
            </w:tcBorders>
            <w:shd w:val="clear" w:color="auto" w:fill="auto"/>
          </w:tcPr>
          <w:p>
            <w:pPr>
              <w:widowControl/>
              <w:textAlignment w:val="top"/>
              <w:rPr>
                <w:rFonts w:ascii="宋体" w:hAnsi="宋体" w:cs="宋体"/>
                <w:color w:val="auto"/>
                <w:sz w:val="22"/>
                <w:szCs w:val="22"/>
                <w:highlight w:val="none"/>
              </w:rPr>
            </w:pPr>
            <w:r>
              <w:rPr>
                <w:rStyle w:val="63"/>
                <w:rFonts w:hint="default"/>
                <w:color w:val="auto"/>
                <w:highlight w:val="none"/>
              </w:rPr>
              <w:t>紫铜管</w:t>
            </w:r>
          </w:p>
        </w:tc>
        <w:tc>
          <w:tcPr>
            <w:tcW w:w="2655" w:type="dxa"/>
            <w:gridSpan w:val="3"/>
            <w:tcBorders>
              <w:top w:val="nil"/>
              <w:left w:val="nil"/>
              <w:bottom w:val="single" w:color="000000" w:sz="8" w:space="0"/>
              <w:right w:val="single" w:color="000000" w:sz="8" w:space="0"/>
            </w:tcBorders>
            <w:shd w:val="clear" w:color="auto" w:fill="auto"/>
          </w:tcPr>
          <w:p>
            <w:pPr>
              <w:widowControl/>
              <w:textAlignment w:val="top"/>
              <w:rPr>
                <w:rFonts w:ascii="宋体" w:hAnsi="宋体" w:cs="宋体"/>
                <w:color w:val="auto"/>
                <w:sz w:val="22"/>
                <w:szCs w:val="22"/>
                <w:highlight w:val="none"/>
              </w:rPr>
            </w:pPr>
            <w:r>
              <w:rPr>
                <w:rStyle w:val="63"/>
                <w:rFonts w:hint="default"/>
                <w:color w:val="auto"/>
                <w:highlight w:val="none"/>
              </w:rPr>
              <w:t>Ф9X1.5</w:t>
            </w:r>
          </w:p>
        </w:tc>
        <w:tc>
          <w:tcPr>
            <w:tcW w:w="810"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kg</w:t>
            </w:r>
          </w:p>
        </w:tc>
        <w:tc>
          <w:tcPr>
            <w:tcW w:w="930" w:type="dxa"/>
            <w:tcBorders>
              <w:top w:val="nil"/>
              <w:left w:val="nil"/>
              <w:bottom w:val="single" w:color="000000" w:sz="8" w:space="0"/>
              <w:right w:val="single" w:color="000000" w:sz="8" w:space="0"/>
            </w:tcBorders>
            <w:shd w:val="clear" w:color="auto" w:fill="auto"/>
          </w:tcPr>
          <w:p>
            <w:pPr>
              <w:widowControl/>
              <w:jc w:val="center"/>
              <w:textAlignment w:val="top"/>
              <w:rPr>
                <w:rFonts w:ascii="宋体" w:hAnsi="宋体" w:cs="宋体"/>
                <w:color w:val="auto"/>
                <w:sz w:val="22"/>
                <w:szCs w:val="22"/>
                <w:highlight w:val="none"/>
              </w:rPr>
            </w:pPr>
            <w:r>
              <w:rPr>
                <w:rFonts w:hint="eastAsia" w:ascii="宋体" w:hAnsi="宋体" w:cs="宋体"/>
                <w:color w:val="auto"/>
                <w:kern w:val="0"/>
                <w:sz w:val="22"/>
                <w:szCs w:val="22"/>
                <w:highlight w:val="none"/>
              </w:rPr>
              <w:t>15.6</w:t>
            </w:r>
          </w:p>
        </w:tc>
        <w:tc>
          <w:tcPr>
            <w:tcW w:w="1320" w:type="dxa"/>
            <w:tcBorders>
              <w:top w:val="nil"/>
              <w:left w:val="nil"/>
              <w:bottom w:val="nil"/>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315" w:hRule="atLeast"/>
          <w:jc w:val="center"/>
        </w:trPr>
        <w:tc>
          <w:tcPr>
            <w:tcW w:w="450" w:type="dxa"/>
            <w:vMerge w:val="continue"/>
            <w:tcBorders>
              <w:left w:val="single" w:color="000000" w:sz="8" w:space="0"/>
              <w:bottom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bottom w:val="single" w:color="000000" w:sz="8" w:space="0"/>
              <w:right w:val="nil"/>
            </w:tcBorders>
            <w:shd w:val="clear" w:color="auto" w:fill="auto"/>
            <w:noWrap/>
            <w:vAlign w:val="center"/>
          </w:tcPr>
          <w:p>
            <w:pPr>
              <w:rPr>
                <w:rFonts w:ascii="宋体" w:hAnsi="宋体" w:cs="宋体"/>
                <w:color w:val="auto"/>
                <w:sz w:val="22"/>
                <w:szCs w:val="22"/>
                <w:highlight w:val="none"/>
              </w:rPr>
            </w:pPr>
          </w:p>
        </w:tc>
        <w:tc>
          <w:tcPr>
            <w:tcW w:w="6705" w:type="dxa"/>
            <w:gridSpan w:val="9"/>
            <w:tcBorders>
              <w:top w:val="nil"/>
              <w:left w:val="single" w:color="000000" w:sz="8" w:space="0"/>
              <w:bottom w:val="single" w:color="000000" w:sz="8" w:space="0"/>
              <w:right w:val="single" w:color="000000" w:sz="8" w:space="0"/>
            </w:tcBorders>
            <w:shd w:val="clear" w:color="auto" w:fill="auto"/>
          </w:tcPr>
          <w:p>
            <w:pPr>
              <w:rPr>
                <w:rFonts w:ascii="宋体" w:hAnsi="宋体" w:cs="宋体"/>
                <w:color w:val="auto"/>
                <w:sz w:val="24"/>
                <w:szCs w:val="24"/>
                <w:highlight w:val="none"/>
              </w:rPr>
            </w:pPr>
          </w:p>
        </w:tc>
        <w:tc>
          <w:tcPr>
            <w:tcW w:w="1320" w:type="dxa"/>
            <w:tcBorders>
              <w:top w:val="nil"/>
              <w:left w:val="nil"/>
              <w:bottom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585" w:hRule="atLeast"/>
          <w:jc w:val="center"/>
        </w:trPr>
        <w:tc>
          <w:tcPr>
            <w:tcW w:w="450" w:type="dxa"/>
            <w:vMerge w:val="restart"/>
            <w:tcBorders>
              <w:top w:val="nil"/>
              <w:left w:val="single" w:color="000000" w:sz="8" w:space="0"/>
              <w:right w:val="single" w:color="000000" w:sz="8" w:space="0"/>
            </w:tcBorders>
            <w:shd w:val="clear" w:color="auto" w:fill="auto"/>
          </w:tcPr>
          <w:p>
            <w:pPr>
              <w:widowControl/>
              <w:textAlignment w:val="top"/>
              <w:rPr>
                <w:rFonts w:ascii="宋体" w:hAnsi="宋体" w:cs="宋体"/>
                <w:b/>
                <w:bCs/>
                <w:color w:val="auto"/>
                <w:kern w:val="0"/>
                <w:sz w:val="24"/>
                <w:szCs w:val="24"/>
                <w:highlight w:val="none"/>
              </w:rPr>
            </w:pPr>
          </w:p>
          <w:p>
            <w:pPr>
              <w:widowControl/>
              <w:textAlignment w:val="top"/>
              <w:rPr>
                <w:rFonts w:ascii="宋体" w:hAnsi="宋体" w:cs="宋体"/>
                <w:b/>
                <w:bCs/>
                <w:color w:val="auto"/>
                <w:kern w:val="0"/>
                <w:sz w:val="24"/>
                <w:szCs w:val="24"/>
                <w:highlight w:val="none"/>
              </w:rPr>
            </w:pPr>
          </w:p>
          <w:p>
            <w:pPr>
              <w:widowControl/>
              <w:textAlignment w:val="top"/>
              <w:rPr>
                <w:rFonts w:ascii="宋体" w:hAnsi="宋体" w:cs="宋体"/>
                <w:b/>
                <w:bCs/>
                <w:color w:val="auto"/>
                <w:kern w:val="0"/>
                <w:sz w:val="24"/>
                <w:szCs w:val="24"/>
                <w:highlight w:val="none"/>
              </w:rPr>
            </w:pPr>
          </w:p>
          <w:p>
            <w:pPr>
              <w:widowControl/>
              <w:textAlignment w:val="top"/>
              <w:rPr>
                <w:rFonts w:ascii="宋体" w:hAnsi="宋体" w:cs="宋体"/>
                <w:b/>
                <w:bCs/>
                <w:color w:val="auto"/>
                <w:kern w:val="0"/>
                <w:sz w:val="24"/>
                <w:szCs w:val="24"/>
                <w:highlight w:val="none"/>
              </w:rPr>
            </w:pPr>
          </w:p>
          <w:p>
            <w:pPr>
              <w:widowControl/>
              <w:textAlignment w:val="top"/>
              <w:rPr>
                <w:rFonts w:ascii="宋体" w:hAnsi="宋体" w:cs="宋体"/>
                <w:b/>
                <w:bCs/>
                <w:color w:val="auto"/>
                <w:kern w:val="0"/>
                <w:sz w:val="24"/>
                <w:szCs w:val="24"/>
                <w:highlight w:val="none"/>
              </w:rPr>
            </w:pPr>
          </w:p>
          <w:p>
            <w:pPr>
              <w:widowControl/>
              <w:textAlignment w:val="top"/>
              <w:rPr>
                <w:rFonts w:ascii="宋体" w:hAnsi="宋体" w:cs="宋体"/>
                <w:b/>
                <w:bCs/>
                <w:color w:val="auto"/>
                <w:kern w:val="0"/>
                <w:sz w:val="24"/>
                <w:szCs w:val="24"/>
                <w:highlight w:val="none"/>
              </w:rPr>
            </w:pPr>
          </w:p>
          <w:p>
            <w:pPr>
              <w:widowControl/>
              <w:textAlignment w:val="top"/>
              <w:rPr>
                <w:rFonts w:ascii="宋体" w:hAnsi="宋体" w:cs="宋体"/>
                <w:b/>
                <w:bCs/>
                <w:color w:val="auto"/>
                <w:kern w:val="0"/>
                <w:sz w:val="24"/>
                <w:szCs w:val="24"/>
                <w:highlight w:val="none"/>
              </w:rPr>
            </w:pPr>
          </w:p>
          <w:p>
            <w:pPr>
              <w:widowControl/>
              <w:textAlignment w:val="top"/>
              <w:rPr>
                <w:rFonts w:ascii="宋体" w:hAnsi="宋体" w:cs="宋体"/>
                <w:b/>
                <w:bCs/>
                <w:color w:val="auto"/>
                <w:kern w:val="0"/>
                <w:sz w:val="24"/>
                <w:szCs w:val="24"/>
                <w:highlight w:val="none"/>
              </w:rPr>
            </w:pPr>
          </w:p>
          <w:p>
            <w:pPr>
              <w:widowControl/>
              <w:textAlignment w:val="top"/>
              <w:rPr>
                <w:rFonts w:ascii="宋体" w:hAnsi="宋体" w:cs="宋体"/>
                <w:b/>
                <w:bCs/>
                <w:color w:val="auto"/>
                <w:kern w:val="0"/>
                <w:sz w:val="24"/>
                <w:szCs w:val="24"/>
                <w:highlight w:val="none"/>
              </w:rPr>
            </w:pPr>
          </w:p>
          <w:p>
            <w:pPr>
              <w:widowControl/>
              <w:textAlignment w:val="top"/>
              <w:rPr>
                <w:rFonts w:ascii="宋体" w:hAnsi="宋体" w:cs="宋体"/>
                <w:b/>
                <w:bCs/>
                <w:color w:val="auto"/>
                <w:kern w:val="0"/>
                <w:sz w:val="24"/>
                <w:szCs w:val="24"/>
                <w:highlight w:val="none"/>
              </w:rPr>
            </w:pPr>
          </w:p>
          <w:p>
            <w:pPr>
              <w:widowControl/>
              <w:textAlignment w:val="top"/>
              <w:rPr>
                <w:rFonts w:ascii="宋体" w:hAnsi="宋体" w:cs="宋体"/>
                <w:b/>
                <w:bCs/>
                <w:color w:val="auto"/>
                <w:kern w:val="0"/>
                <w:sz w:val="24"/>
                <w:szCs w:val="24"/>
                <w:highlight w:val="none"/>
              </w:rPr>
            </w:pPr>
          </w:p>
          <w:p>
            <w:pPr>
              <w:widowControl/>
              <w:textAlignment w:val="top"/>
              <w:rPr>
                <w:rFonts w:ascii="宋体" w:hAnsi="宋体" w:cs="宋体"/>
                <w:b/>
                <w:bCs/>
                <w:color w:val="auto"/>
                <w:kern w:val="0"/>
                <w:sz w:val="24"/>
                <w:szCs w:val="24"/>
                <w:highlight w:val="none"/>
              </w:rPr>
            </w:pPr>
          </w:p>
          <w:p>
            <w:pPr>
              <w:widowControl/>
              <w:textAlignment w:val="top"/>
              <w:rPr>
                <w:rFonts w:ascii="宋体" w:hAnsi="宋体" w:cs="宋体"/>
                <w:b/>
                <w:bCs/>
                <w:color w:val="auto"/>
                <w:sz w:val="24"/>
                <w:szCs w:val="24"/>
                <w:highlight w:val="none"/>
              </w:rPr>
            </w:pPr>
            <w:r>
              <w:rPr>
                <w:rFonts w:hint="eastAsia" w:ascii="宋体" w:hAnsi="宋体" w:cs="宋体"/>
                <w:b/>
                <w:bCs/>
                <w:color w:val="auto"/>
                <w:kern w:val="0"/>
                <w:sz w:val="24"/>
                <w:szCs w:val="24"/>
                <w:highlight w:val="none"/>
              </w:rPr>
              <w:t>2</w:t>
            </w:r>
          </w:p>
        </w:tc>
        <w:tc>
          <w:tcPr>
            <w:tcW w:w="727" w:type="dxa"/>
            <w:vMerge w:val="restart"/>
            <w:tcBorders>
              <w:top w:val="nil"/>
              <w:left w:val="single" w:color="000000" w:sz="8" w:space="0"/>
              <w:right w:val="single" w:color="000000" w:sz="8" w:space="0"/>
            </w:tcBorders>
            <w:shd w:val="clear" w:color="auto" w:fill="auto"/>
          </w:tcPr>
          <w:p>
            <w:pPr>
              <w:widowControl/>
              <w:jc w:val="left"/>
              <w:textAlignment w:val="top"/>
              <w:rPr>
                <w:rStyle w:val="59"/>
                <w:rFonts w:hint="default"/>
                <w:color w:val="auto"/>
                <w:highlight w:val="none"/>
              </w:rPr>
            </w:pPr>
          </w:p>
          <w:p>
            <w:pPr>
              <w:widowControl/>
              <w:jc w:val="left"/>
              <w:textAlignment w:val="top"/>
              <w:rPr>
                <w:rStyle w:val="59"/>
                <w:rFonts w:hint="default"/>
                <w:color w:val="auto"/>
                <w:highlight w:val="none"/>
              </w:rPr>
            </w:pPr>
          </w:p>
          <w:p>
            <w:pPr>
              <w:widowControl/>
              <w:jc w:val="left"/>
              <w:textAlignment w:val="top"/>
              <w:rPr>
                <w:rStyle w:val="59"/>
                <w:rFonts w:hint="default"/>
                <w:color w:val="auto"/>
                <w:highlight w:val="none"/>
              </w:rPr>
            </w:pPr>
          </w:p>
          <w:p>
            <w:pPr>
              <w:widowControl/>
              <w:jc w:val="left"/>
              <w:textAlignment w:val="top"/>
              <w:rPr>
                <w:rStyle w:val="59"/>
                <w:rFonts w:hint="default"/>
                <w:color w:val="auto"/>
                <w:highlight w:val="none"/>
              </w:rPr>
            </w:pPr>
          </w:p>
          <w:p>
            <w:pPr>
              <w:widowControl/>
              <w:jc w:val="left"/>
              <w:textAlignment w:val="top"/>
              <w:rPr>
                <w:rStyle w:val="59"/>
                <w:rFonts w:hint="default"/>
                <w:color w:val="auto"/>
                <w:highlight w:val="none"/>
              </w:rPr>
            </w:pPr>
          </w:p>
          <w:p>
            <w:pPr>
              <w:widowControl/>
              <w:jc w:val="left"/>
              <w:textAlignment w:val="top"/>
              <w:rPr>
                <w:rStyle w:val="59"/>
                <w:rFonts w:hint="default"/>
                <w:color w:val="auto"/>
                <w:highlight w:val="none"/>
              </w:rPr>
            </w:pPr>
          </w:p>
          <w:p>
            <w:pPr>
              <w:widowControl/>
              <w:jc w:val="left"/>
              <w:textAlignment w:val="top"/>
              <w:rPr>
                <w:rStyle w:val="59"/>
                <w:rFonts w:hint="default"/>
                <w:color w:val="auto"/>
                <w:highlight w:val="none"/>
              </w:rPr>
            </w:pPr>
          </w:p>
          <w:p>
            <w:pPr>
              <w:widowControl/>
              <w:jc w:val="left"/>
              <w:textAlignment w:val="top"/>
              <w:rPr>
                <w:rStyle w:val="59"/>
                <w:rFonts w:hint="default"/>
                <w:color w:val="auto"/>
                <w:highlight w:val="none"/>
              </w:rPr>
            </w:pPr>
          </w:p>
          <w:p>
            <w:pPr>
              <w:widowControl/>
              <w:jc w:val="left"/>
              <w:textAlignment w:val="top"/>
              <w:rPr>
                <w:rStyle w:val="59"/>
                <w:rFonts w:hint="default"/>
                <w:color w:val="auto"/>
                <w:highlight w:val="none"/>
              </w:rPr>
            </w:pPr>
          </w:p>
          <w:p>
            <w:pPr>
              <w:widowControl/>
              <w:jc w:val="left"/>
              <w:textAlignment w:val="top"/>
              <w:rPr>
                <w:rStyle w:val="59"/>
                <w:rFonts w:hint="default"/>
                <w:color w:val="auto"/>
                <w:highlight w:val="none"/>
              </w:rPr>
            </w:pPr>
          </w:p>
          <w:p>
            <w:pPr>
              <w:widowControl/>
              <w:jc w:val="left"/>
              <w:textAlignment w:val="top"/>
              <w:rPr>
                <w:rFonts w:ascii="宋体" w:hAnsi="宋体" w:cs="宋体"/>
                <w:b/>
                <w:bCs/>
                <w:color w:val="auto"/>
                <w:sz w:val="24"/>
                <w:szCs w:val="24"/>
                <w:highlight w:val="none"/>
              </w:rPr>
            </w:pPr>
            <w:r>
              <w:rPr>
                <w:rStyle w:val="59"/>
                <w:rFonts w:hint="default"/>
                <w:color w:val="auto"/>
                <w:highlight w:val="none"/>
              </w:rPr>
              <w:t>动力设备拆装实训室搬迁</w:t>
            </w:r>
          </w:p>
        </w:tc>
        <w:tc>
          <w:tcPr>
            <w:tcW w:w="6705" w:type="dxa"/>
            <w:gridSpan w:val="9"/>
            <w:tcBorders>
              <w:top w:val="nil"/>
              <w:left w:val="single" w:color="000000" w:sz="8" w:space="0"/>
              <w:bottom w:val="single" w:color="000000" w:sz="8" w:space="0"/>
              <w:right w:val="single" w:color="000000" w:sz="8" w:space="0"/>
            </w:tcBorders>
            <w:shd w:val="clear" w:color="auto" w:fill="auto"/>
          </w:tcPr>
          <w:p>
            <w:pPr>
              <w:widowControl/>
              <w:textAlignment w:val="top"/>
              <w:rPr>
                <w:rFonts w:ascii="宋体" w:hAnsi="宋体" w:cs="宋体"/>
                <w:color w:val="auto"/>
                <w:sz w:val="24"/>
                <w:szCs w:val="24"/>
                <w:highlight w:val="none"/>
              </w:rPr>
            </w:pPr>
            <w:r>
              <w:rPr>
                <w:rStyle w:val="60"/>
                <w:rFonts w:hint="default"/>
                <w:color w:val="auto"/>
                <w:highlight w:val="none"/>
              </w:rPr>
              <w:t>动力设备拆装实训室均为独立设备，搬迁至指定地点，具体要求参见备注。</w:t>
            </w:r>
          </w:p>
        </w:tc>
        <w:tc>
          <w:tcPr>
            <w:tcW w:w="1320" w:type="dxa"/>
            <w:tcBorders>
              <w:top w:val="nil"/>
              <w:left w:val="nil"/>
              <w:bottom w:val="single" w:color="000000" w:sz="8" w:space="0"/>
              <w:right w:val="single" w:color="000000" w:sz="8" w:space="0"/>
            </w:tcBorders>
            <w:shd w:val="clear" w:color="auto" w:fill="auto"/>
          </w:tcPr>
          <w:p>
            <w:pPr>
              <w:rPr>
                <w:rFonts w:ascii="宋体" w:hAnsi="宋体" w:cs="宋体"/>
                <w:color w:val="auto"/>
                <w:sz w:val="24"/>
                <w:szCs w:val="24"/>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tcPr>
          <w:p>
            <w:pPr>
              <w:jc w:val="left"/>
              <w:rPr>
                <w:rFonts w:ascii="宋体" w:hAnsi="宋体" w:cs="宋体"/>
                <w:b/>
                <w:bCs/>
                <w:color w:val="auto"/>
                <w:sz w:val="24"/>
                <w:szCs w:val="24"/>
                <w:highlight w:val="none"/>
              </w:rPr>
            </w:pPr>
          </w:p>
        </w:tc>
        <w:tc>
          <w:tcPr>
            <w:tcW w:w="782" w:type="dxa"/>
            <w:gridSpan w:val="2"/>
            <w:tcBorders>
              <w:top w:val="single" w:color="000000" w:sz="8"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 w:val="22"/>
                <w:szCs w:val="22"/>
                <w:highlight w:val="none"/>
              </w:rPr>
            </w:pPr>
            <w:r>
              <w:rPr>
                <w:rStyle w:val="63"/>
                <w:rFonts w:hint="default"/>
                <w:b/>
                <w:bCs/>
                <w:color w:val="auto"/>
                <w:highlight w:val="none"/>
              </w:rPr>
              <w:t>序号</w:t>
            </w:r>
          </w:p>
        </w:tc>
        <w:tc>
          <w:tcPr>
            <w:tcW w:w="2040" w:type="dxa"/>
            <w:gridSpan w:val="2"/>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 w:val="22"/>
                <w:szCs w:val="22"/>
                <w:highlight w:val="none"/>
              </w:rPr>
            </w:pPr>
            <w:r>
              <w:rPr>
                <w:rStyle w:val="63"/>
                <w:rFonts w:hint="default"/>
                <w:b/>
                <w:bCs/>
                <w:color w:val="auto"/>
                <w:highlight w:val="none"/>
              </w:rPr>
              <w:t>设备名称</w:t>
            </w:r>
          </w:p>
        </w:tc>
        <w:tc>
          <w:tcPr>
            <w:tcW w:w="765" w:type="dxa"/>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 w:val="22"/>
                <w:szCs w:val="22"/>
                <w:highlight w:val="none"/>
              </w:rPr>
            </w:pPr>
            <w:r>
              <w:rPr>
                <w:rStyle w:val="63"/>
                <w:rFonts w:hint="default"/>
                <w:b/>
                <w:bCs/>
                <w:color w:val="auto"/>
                <w:highlight w:val="none"/>
              </w:rPr>
              <w:t>数量</w:t>
            </w:r>
          </w:p>
        </w:tc>
        <w:tc>
          <w:tcPr>
            <w:tcW w:w="1740" w:type="dxa"/>
            <w:gridSpan w:val="2"/>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 w:val="22"/>
                <w:szCs w:val="22"/>
                <w:highlight w:val="none"/>
              </w:rPr>
            </w:pPr>
            <w:r>
              <w:rPr>
                <w:rStyle w:val="63"/>
                <w:rFonts w:hint="default"/>
                <w:b/>
                <w:bCs/>
                <w:color w:val="auto"/>
                <w:highlight w:val="none"/>
              </w:rPr>
              <w:t>设备型号</w:t>
            </w:r>
          </w:p>
        </w:tc>
        <w:tc>
          <w:tcPr>
            <w:tcW w:w="1378" w:type="dxa"/>
            <w:gridSpan w:val="2"/>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 w:val="22"/>
                <w:szCs w:val="22"/>
                <w:highlight w:val="none"/>
              </w:rPr>
            </w:pPr>
            <w:r>
              <w:rPr>
                <w:rStyle w:val="63"/>
                <w:rFonts w:hint="default"/>
                <w:b/>
                <w:bCs/>
                <w:color w:val="auto"/>
                <w:highlight w:val="none"/>
              </w:rPr>
              <w:t>备注</w:t>
            </w:r>
          </w:p>
        </w:tc>
        <w:tc>
          <w:tcPr>
            <w:tcW w:w="1320" w:type="dxa"/>
            <w:tcBorders>
              <w:top w:val="single" w:color="000000" w:sz="8" w:space="0"/>
              <w:left w:val="single" w:color="000000" w:sz="4" w:space="0"/>
              <w:bottom w:val="single" w:color="000000" w:sz="4" w:space="0"/>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tcPr>
          <w:p>
            <w:pPr>
              <w:rPr>
                <w:rFonts w:ascii="宋体" w:hAnsi="宋体" w:cs="宋体"/>
                <w:b/>
                <w:bCs/>
                <w:color w:val="auto"/>
                <w:sz w:val="24"/>
                <w:szCs w:val="24"/>
                <w:highlight w:val="none"/>
              </w:rPr>
            </w:pPr>
          </w:p>
        </w:tc>
        <w:tc>
          <w:tcPr>
            <w:tcW w:w="727" w:type="dxa"/>
            <w:vMerge w:val="continue"/>
            <w:tcBorders>
              <w:left w:val="single" w:color="000000" w:sz="8" w:space="0"/>
              <w:right w:val="single" w:color="000000" w:sz="8" w:space="0"/>
            </w:tcBorders>
            <w:shd w:val="clear" w:color="auto" w:fill="auto"/>
          </w:tcPr>
          <w:p>
            <w:pPr>
              <w:jc w:val="left"/>
              <w:rPr>
                <w:rFonts w:ascii="宋体" w:hAnsi="宋体" w:cs="宋体"/>
                <w:b/>
                <w:bCs/>
                <w:color w:val="auto"/>
                <w:sz w:val="24"/>
                <w:szCs w:val="24"/>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分油机</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MAPX205TCT-24</w:t>
            </w: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含专用工具</w:t>
            </w:r>
          </w:p>
        </w:tc>
        <w:tc>
          <w:tcPr>
            <w:tcW w:w="1320" w:type="dxa"/>
            <w:vMerge w:val="restar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宋体" w:hAnsi="宋体" w:cs="宋体"/>
                <w:color w:val="auto"/>
                <w:sz w:val="24"/>
                <w:szCs w:val="24"/>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tcPr>
          <w:p>
            <w:pPr>
              <w:jc w:val="left"/>
              <w:rPr>
                <w:rFonts w:ascii="宋体" w:hAnsi="宋体" w:cs="宋体"/>
                <w:b/>
                <w:bCs/>
                <w:color w:val="auto"/>
                <w:sz w:val="24"/>
                <w:szCs w:val="24"/>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分油机</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SJ-6000</w:t>
            </w: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含专用工具</w:t>
            </w: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宋体" w:hAnsi="宋体" w:cs="宋体"/>
                <w:color w:val="auto"/>
                <w:sz w:val="24"/>
                <w:szCs w:val="24"/>
                <w:highlight w:val="none"/>
              </w:rPr>
            </w:pPr>
          </w:p>
        </w:tc>
      </w:tr>
      <w:tr>
        <w:tblPrEx>
          <w:tblCellMar>
            <w:top w:w="0" w:type="dxa"/>
            <w:left w:w="108" w:type="dxa"/>
            <w:bottom w:w="0" w:type="dxa"/>
            <w:right w:w="108" w:type="dxa"/>
          </w:tblCellMar>
        </w:tblPrEx>
        <w:trPr>
          <w:trHeight w:val="90" w:hRule="atLeast"/>
          <w:jc w:val="center"/>
        </w:trPr>
        <w:tc>
          <w:tcPr>
            <w:tcW w:w="450" w:type="dxa"/>
            <w:vMerge w:val="continue"/>
            <w:tcBorders>
              <w:left w:val="single" w:color="000000" w:sz="8" w:space="0"/>
              <w:right w:val="single" w:color="000000" w:sz="8" w:space="0"/>
            </w:tcBorders>
            <w:shd w:val="clear" w:color="auto" w:fill="auto"/>
          </w:tcPr>
          <w:p>
            <w:pPr>
              <w:rPr>
                <w:rFonts w:ascii="宋体" w:hAnsi="宋体" w:cs="宋体"/>
                <w:b/>
                <w:bCs/>
                <w:color w:val="auto"/>
                <w:sz w:val="24"/>
                <w:szCs w:val="24"/>
                <w:highlight w:val="none"/>
              </w:rPr>
            </w:pPr>
          </w:p>
        </w:tc>
        <w:tc>
          <w:tcPr>
            <w:tcW w:w="727" w:type="dxa"/>
            <w:vMerge w:val="continue"/>
            <w:tcBorders>
              <w:left w:val="single" w:color="000000" w:sz="8" w:space="0"/>
              <w:right w:val="single" w:color="000000" w:sz="8" w:space="0"/>
            </w:tcBorders>
            <w:shd w:val="clear" w:color="auto" w:fill="auto"/>
          </w:tcPr>
          <w:p>
            <w:pPr>
              <w:widowControl/>
              <w:jc w:val="left"/>
              <w:textAlignment w:val="top"/>
              <w:rPr>
                <w:rFonts w:ascii="宋体" w:hAnsi="宋体" w:cs="宋体"/>
                <w:b/>
                <w:bCs/>
                <w:color w:val="auto"/>
                <w:sz w:val="24"/>
                <w:szCs w:val="24"/>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sz w:val="24"/>
                <w:szCs w:val="24"/>
                <w:highlight w:val="none"/>
                <w:lang w:eastAsia="zh-CN"/>
              </w:rPr>
              <w:t>■</w:t>
            </w:r>
            <w:r>
              <w:rPr>
                <w:rStyle w:val="63"/>
                <w:rFonts w:hint="default"/>
                <w:color w:val="auto"/>
                <w:highlight w:val="none"/>
              </w:rPr>
              <w:t>3</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Cs w:val="21"/>
                <w:highlight w:val="none"/>
                <w:lang w:bidi="ar"/>
              </w:rPr>
              <w:t>●</w:t>
            </w:r>
            <w:r>
              <w:rPr>
                <w:rStyle w:val="63"/>
                <w:rFonts w:hint="default"/>
                <w:color w:val="auto"/>
                <w:highlight w:val="none"/>
              </w:rPr>
              <w:t>四冲程柴油机（响应文件需提供基座预制地脚预埋固定图纸及方案）</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6NVD48</w:t>
            </w: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 w:val="22"/>
                <w:szCs w:val="22"/>
                <w:highlight w:val="none"/>
              </w:rPr>
            </w:pPr>
            <w:r>
              <w:rPr>
                <w:rStyle w:val="61"/>
                <w:rFonts w:hint="default"/>
                <w:color w:val="auto"/>
                <w:highlight w:val="none"/>
              </w:rPr>
              <w:t>预制安装底座，含附件、备件、备件柜</w:t>
            </w:r>
          </w:p>
        </w:tc>
        <w:tc>
          <w:tcPr>
            <w:tcW w:w="1320"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四冲程柴油机</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4135ca3-2</w:t>
            </w: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tcPr>
          <w:p>
            <w:pPr>
              <w:rPr>
                <w:rFonts w:ascii="宋体" w:hAnsi="宋体" w:cs="宋体"/>
                <w:b/>
                <w:bCs/>
                <w:color w:val="auto"/>
                <w:sz w:val="24"/>
                <w:szCs w:val="24"/>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5</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Cs w:val="21"/>
                <w:highlight w:val="none"/>
                <w:lang w:bidi="ar"/>
              </w:rPr>
              <w:t>●</w:t>
            </w:r>
            <w:r>
              <w:rPr>
                <w:rStyle w:val="63"/>
                <w:rFonts w:hint="default"/>
                <w:color w:val="auto"/>
                <w:highlight w:val="none"/>
              </w:rPr>
              <w:t>四冲程柴油机</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6160A-13</w:t>
            </w: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含吊装支架、工作台</w:t>
            </w:r>
          </w:p>
        </w:tc>
        <w:tc>
          <w:tcPr>
            <w:tcW w:w="1320"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宋体" w:hAnsi="宋体" w:cs="宋体"/>
                <w:color w:val="auto"/>
                <w:sz w:val="24"/>
                <w:szCs w:val="24"/>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6</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四冲程柴油机V</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759F2-1</w:t>
            </w: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restar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tcPr>
          <w:p>
            <w:pPr>
              <w:widowControl/>
              <w:textAlignment w:val="top"/>
              <w:rPr>
                <w:rFonts w:ascii="宋体" w:hAnsi="宋体" w:cs="宋体"/>
                <w:b/>
                <w:bCs/>
                <w:color w:val="auto"/>
                <w:sz w:val="24"/>
                <w:szCs w:val="24"/>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7</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宋体" w:hAnsi="宋体" w:cs="宋体"/>
                <w:color w:val="auto"/>
                <w:sz w:val="22"/>
                <w:szCs w:val="22"/>
                <w:highlight w:val="none"/>
              </w:rPr>
            </w:pPr>
            <w:r>
              <w:rPr>
                <w:rStyle w:val="63"/>
                <w:rFonts w:hint="default"/>
                <w:color w:val="auto"/>
                <w:highlight w:val="none"/>
              </w:rPr>
              <w:t>交流发电机组</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8</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空压机</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3台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2"/>
                <w:szCs w:val="22"/>
                <w:highlight w:val="none"/>
              </w:rPr>
            </w:pP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tcPr>
          <w:p>
            <w:pPr>
              <w:rPr>
                <w:rFonts w:ascii="宋体" w:hAnsi="宋体" w:cs="宋体"/>
                <w:b/>
                <w:bCs/>
                <w:color w:val="auto"/>
                <w:sz w:val="24"/>
                <w:szCs w:val="24"/>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9</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十字头连杆</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2套</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10</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十字头活塞</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1只</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tcPr>
          <w:p>
            <w:pPr>
              <w:rPr>
                <w:rFonts w:ascii="宋体" w:hAnsi="宋体" w:cs="宋体"/>
                <w:b/>
                <w:bCs/>
                <w:color w:val="auto"/>
                <w:sz w:val="24"/>
                <w:szCs w:val="24"/>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11</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二冲程柴油机缸套</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2只</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苏尔寿RD44</w:t>
            </w: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12</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填料函</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1套</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tcPr>
          <w:p>
            <w:pPr>
              <w:rPr>
                <w:rFonts w:ascii="宋体" w:hAnsi="宋体" w:cs="宋体"/>
                <w:b/>
                <w:bCs/>
                <w:color w:val="auto"/>
                <w:sz w:val="24"/>
                <w:szCs w:val="24"/>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13</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四冲程缸套</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2只</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14</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四冲程活塞</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4只</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tcPr>
          <w:p>
            <w:pPr>
              <w:rPr>
                <w:rFonts w:ascii="宋体" w:hAnsi="宋体" w:cs="宋体"/>
                <w:b/>
                <w:bCs/>
                <w:color w:val="auto"/>
                <w:sz w:val="24"/>
                <w:szCs w:val="24"/>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15</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齿轮泵</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2台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配制拆装工作台1个：3米X1米X1米，台钳2台，工具挂钩。</w:t>
            </w:r>
          </w:p>
        </w:tc>
        <w:tc>
          <w:tcPr>
            <w:tcW w:w="1320" w:type="dxa"/>
            <w:vMerge w:val="restart"/>
            <w:tcBorders>
              <w:top w:val="single" w:color="000000" w:sz="4" w:space="0"/>
              <w:left w:val="single" w:color="000000" w:sz="4" w:space="0"/>
              <w:right w:val="single" w:color="000000" w:sz="8" w:space="0"/>
            </w:tcBorders>
            <w:shd w:val="clear" w:color="auto" w:fill="auto"/>
            <w:noWrap/>
            <w:vAlign w:val="center"/>
          </w:tcPr>
          <w:p>
            <w:pPr>
              <w:pStyle w:val="2"/>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16</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往复泵</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2只</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left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342" w:hRule="exac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17</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离心泵</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2台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C1H6</w:t>
            </w:r>
          </w:p>
        </w:tc>
        <w:tc>
          <w:tcPr>
            <w:tcW w:w="137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left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18</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活塞制冷压缩机</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left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19</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螺杆制冷压缩机</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left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20</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柱塞式油泵</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left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21</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叶片式油泵</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left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22</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内曲线油马达</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left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23</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活塞式油马达</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left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24</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叶片式油马达</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left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25</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控制阀</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3只</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left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26</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自清滤器</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1只</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6133ND150</w:t>
            </w: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left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27</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工具柜</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2只</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铁质</w:t>
            </w: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left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28</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锅炉安全阀</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2台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left w:val="single" w:color="000000" w:sz="4" w:space="0"/>
              <w:right w:val="single" w:color="000000" w:sz="8" w:space="0"/>
            </w:tcBorders>
            <w:shd w:val="clear" w:color="auto" w:fill="auto"/>
            <w:noWrap/>
            <w:vAlign w:val="center"/>
          </w:tcPr>
          <w:p>
            <w:pP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29</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液压拉伸器</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left w:val="single" w:color="000000" w:sz="4" w:space="0"/>
              <w:right w:val="single" w:color="000000" w:sz="8" w:space="0"/>
            </w:tcBorders>
            <w:shd w:val="clear" w:color="auto" w:fill="auto"/>
            <w:noWrap/>
            <w:vAlign w:val="center"/>
          </w:tcPr>
          <w:p>
            <w:pPr>
              <w:jc w:val="center"/>
              <w:rPr>
                <w:rFonts w:ascii="宋体" w:hAnsi="宋体" w:cs="宋体"/>
                <w:color w:val="auto"/>
                <w:kern w:val="2"/>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30</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电子经纬仪</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LT402L</w:t>
            </w: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left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31</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涡轮增压器</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FJ135</w:t>
            </w: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left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32</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锅炉燃烧器</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C1</w:t>
            </w: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left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33</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离心泵</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ISG80-160</w:t>
            </w: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left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34</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往复泵</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WB-R-3/10</w:t>
            </w: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left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35</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齿轮泵</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2CY</w:t>
            </w: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36</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电子经纬仪</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LT402L</w:t>
            </w:r>
          </w:p>
        </w:tc>
        <w:tc>
          <w:tcPr>
            <w:tcW w:w="137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37-44项在活动板房内，面积约10MX5米，板房需拆除，第9、11、12项等设备放置在板房下方方坑内。</w:t>
            </w:r>
          </w:p>
        </w:tc>
        <w:tc>
          <w:tcPr>
            <w:tcW w:w="1320" w:type="dxa"/>
            <w:vMerge w:val="restar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37</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 w:val="22"/>
                <w:szCs w:val="22"/>
                <w:highlight w:val="none"/>
              </w:rPr>
            </w:pPr>
            <w:r>
              <w:rPr>
                <w:rStyle w:val="63"/>
                <w:rFonts w:hint="default"/>
                <w:color w:val="auto"/>
                <w:highlight w:val="none"/>
              </w:rPr>
              <w:t>尾基座</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38</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 w:val="22"/>
                <w:szCs w:val="22"/>
                <w:highlight w:val="none"/>
              </w:rPr>
            </w:pPr>
            <w:r>
              <w:rPr>
                <w:rStyle w:val="63"/>
                <w:rFonts w:hint="default"/>
                <w:color w:val="auto"/>
                <w:highlight w:val="none"/>
              </w:rPr>
              <w:t>前后光靶</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39</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 w:val="22"/>
                <w:szCs w:val="22"/>
                <w:highlight w:val="none"/>
              </w:rPr>
            </w:pPr>
            <w:r>
              <w:rPr>
                <w:rStyle w:val="63"/>
                <w:rFonts w:hint="default"/>
                <w:color w:val="auto"/>
                <w:highlight w:val="none"/>
              </w:rPr>
              <w:t>前后光靶</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40</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 w:val="22"/>
                <w:szCs w:val="22"/>
                <w:highlight w:val="none"/>
              </w:rPr>
            </w:pPr>
            <w:r>
              <w:rPr>
                <w:rStyle w:val="63"/>
                <w:rFonts w:hint="default"/>
                <w:color w:val="auto"/>
                <w:highlight w:val="none"/>
              </w:rPr>
              <w:t>前后光靶</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41</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 w:val="22"/>
                <w:szCs w:val="22"/>
                <w:highlight w:val="none"/>
              </w:rPr>
            </w:pPr>
            <w:r>
              <w:rPr>
                <w:rStyle w:val="63"/>
                <w:rFonts w:hint="default"/>
                <w:color w:val="auto"/>
                <w:highlight w:val="none"/>
              </w:rPr>
              <w:t>前后光靶</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42</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 w:val="22"/>
                <w:szCs w:val="22"/>
                <w:highlight w:val="none"/>
              </w:rPr>
            </w:pPr>
            <w:r>
              <w:rPr>
                <w:rStyle w:val="63"/>
                <w:rFonts w:hint="default"/>
                <w:color w:val="auto"/>
                <w:highlight w:val="none"/>
              </w:rPr>
              <w:t>尾轴带法兰</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43</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 w:val="22"/>
                <w:szCs w:val="22"/>
                <w:highlight w:val="none"/>
              </w:rPr>
            </w:pPr>
            <w:r>
              <w:rPr>
                <w:rStyle w:val="63"/>
                <w:rFonts w:hint="default"/>
                <w:color w:val="auto"/>
                <w:highlight w:val="none"/>
              </w:rPr>
              <w:t>中间轴带法兰</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44</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 w:val="22"/>
                <w:szCs w:val="22"/>
                <w:highlight w:val="none"/>
              </w:rPr>
            </w:pPr>
            <w:r>
              <w:rPr>
                <w:rStyle w:val="63"/>
                <w:rFonts w:hint="default"/>
                <w:color w:val="auto"/>
                <w:highlight w:val="none"/>
              </w:rPr>
              <w:t>尾轴管及支架</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45</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 w:val="22"/>
                <w:szCs w:val="22"/>
                <w:highlight w:val="none"/>
              </w:rPr>
            </w:pPr>
            <w:r>
              <w:rPr>
                <w:rStyle w:val="63"/>
                <w:rFonts w:hint="default"/>
                <w:color w:val="auto"/>
                <w:highlight w:val="none"/>
              </w:rPr>
              <w:t>装夹工具铣刀</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2套</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46</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 w:val="22"/>
                <w:szCs w:val="22"/>
                <w:highlight w:val="none"/>
              </w:rPr>
            </w:pPr>
            <w:r>
              <w:rPr>
                <w:rStyle w:val="63"/>
                <w:rFonts w:hint="default"/>
                <w:color w:val="auto"/>
                <w:highlight w:val="none"/>
              </w:rPr>
              <w:t>万能工具铣床</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47</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风冷空压机</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V-1.05/12.5</w:t>
            </w: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restar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48</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蝶阀</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4只</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49</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截止阀</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4只</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50</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液压拉伸器</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1套</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DLD1 M24_M36</w:t>
            </w: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51</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手动液压泵</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1套</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RLLLDBOLDB020</w:t>
            </w: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52</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变量斜盘式轴向柱塞泵</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Pvpv1525EC00</w:t>
            </w: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53</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自清滤器</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DN40</w:t>
            </w: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54</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中速机喷油泵</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4台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R6160</w:t>
            </w: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55</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板式换热器</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2台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DN50</w:t>
            </w: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56</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移动式工具柜</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1套</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57</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移动式龙门吊</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1套</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58</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宋体" w:hAnsi="宋体" w:cs="宋体"/>
                <w:color w:val="auto"/>
                <w:sz w:val="22"/>
                <w:szCs w:val="22"/>
                <w:highlight w:val="none"/>
              </w:rPr>
            </w:pPr>
            <w:r>
              <w:rPr>
                <w:rStyle w:val="63"/>
                <w:rFonts w:hint="default"/>
                <w:color w:val="auto"/>
                <w:highlight w:val="none"/>
              </w:rPr>
              <w:t>轮机各种系统图</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1套</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2"/>
                <w:szCs w:val="22"/>
                <w:highlight w:val="none"/>
              </w:rPr>
            </w:pP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Cs w:val="21"/>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59</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 w:val="22"/>
                <w:szCs w:val="22"/>
                <w:highlight w:val="none"/>
              </w:rPr>
            </w:pPr>
            <w:r>
              <w:rPr>
                <w:rStyle w:val="63"/>
                <w:rFonts w:hint="default"/>
                <w:color w:val="auto"/>
                <w:highlight w:val="none"/>
              </w:rPr>
              <w:t>涡轮增压器</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FJ135</w:t>
            </w: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Cs w:val="21"/>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60</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 w:val="22"/>
                <w:szCs w:val="22"/>
                <w:highlight w:val="none"/>
              </w:rPr>
            </w:pPr>
            <w:r>
              <w:rPr>
                <w:rStyle w:val="63"/>
                <w:rFonts w:hint="default"/>
                <w:color w:val="auto"/>
                <w:highlight w:val="none"/>
              </w:rPr>
              <w:t>工作台</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2"/>
                <w:szCs w:val="22"/>
                <w:highlight w:val="none"/>
              </w:rPr>
            </w:pP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2.5m*1m*1m</w:t>
            </w: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Cs w:val="21"/>
                <w:highlight w:val="none"/>
              </w:rPr>
            </w:pPr>
          </w:p>
        </w:tc>
        <w:tc>
          <w:tcPr>
            <w:tcW w:w="1320" w:type="dxa"/>
            <w:vMerge w:val="restar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61</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 w:val="22"/>
                <w:szCs w:val="22"/>
                <w:highlight w:val="none"/>
              </w:rPr>
            </w:pPr>
            <w:r>
              <w:rPr>
                <w:rStyle w:val="63"/>
                <w:rFonts w:hint="default"/>
                <w:color w:val="auto"/>
                <w:highlight w:val="none"/>
              </w:rPr>
              <w:t>工作台</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2"/>
                <w:szCs w:val="22"/>
                <w:highlight w:val="none"/>
              </w:rPr>
            </w:pP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宋体" w:hAnsi="宋体" w:cs="宋体"/>
                <w:color w:val="auto"/>
                <w:sz w:val="22"/>
                <w:szCs w:val="22"/>
                <w:highlight w:val="none"/>
              </w:rPr>
            </w:pPr>
            <w:r>
              <w:rPr>
                <w:rStyle w:val="63"/>
                <w:rFonts w:hint="default"/>
                <w:color w:val="auto"/>
                <w:highlight w:val="none"/>
              </w:rPr>
              <w:t>3m*0.7m*1m</w:t>
            </w: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Cs w:val="21"/>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62</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 w:val="22"/>
                <w:szCs w:val="22"/>
                <w:highlight w:val="none"/>
              </w:rPr>
            </w:pPr>
            <w:r>
              <w:rPr>
                <w:rStyle w:val="63"/>
                <w:rFonts w:hint="default"/>
                <w:color w:val="auto"/>
                <w:highlight w:val="none"/>
              </w:rPr>
              <w:t>工作台</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2"/>
                <w:szCs w:val="22"/>
                <w:highlight w:val="none"/>
              </w:rPr>
            </w:pP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宋体" w:hAnsi="宋体" w:cs="宋体"/>
                <w:color w:val="auto"/>
                <w:sz w:val="22"/>
                <w:szCs w:val="22"/>
                <w:highlight w:val="none"/>
              </w:rPr>
            </w:pPr>
            <w:r>
              <w:rPr>
                <w:rStyle w:val="63"/>
                <w:rFonts w:hint="default"/>
                <w:color w:val="auto"/>
                <w:highlight w:val="none"/>
              </w:rPr>
              <w:t>2.5m*1m*1m</w:t>
            </w: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Cs w:val="21"/>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63</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 w:val="22"/>
                <w:szCs w:val="22"/>
                <w:highlight w:val="none"/>
              </w:rPr>
            </w:pPr>
            <w:r>
              <w:rPr>
                <w:rStyle w:val="63"/>
                <w:rFonts w:hint="default"/>
                <w:color w:val="auto"/>
                <w:highlight w:val="none"/>
              </w:rPr>
              <w:t>工作台</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2"/>
                <w:szCs w:val="22"/>
                <w:highlight w:val="none"/>
              </w:rPr>
            </w:pP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宋体" w:hAnsi="宋体" w:cs="宋体"/>
                <w:color w:val="auto"/>
                <w:sz w:val="22"/>
                <w:szCs w:val="22"/>
                <w:highlight w:val="none"/>
              </w:rPr>
            </w:pPr>
            <w:r>
              <w:rPr>
                <w:rStyle w:val="63"/>
                <w:rFonts w:hint="default"/>
                <w:color w:val="auto"/>
                <w:highlight w:val="none"/>
              </w:rPr>
              <w:t>2m*2m*0.6m</w:t>
            </w: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Cs w:val="21"/>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64</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 w:val="22"/>
                <w:szCs w:val="22"/>
                <w:highlight w:val="none"/>
              </w:rPr>
            </w:pPr>
            <w:r>
              <w:rPr>
                <w:rStyle w:val="63"/>
                <w:rFonts w:hint="default"/>
                <w:color w:val="auto"/>
                <w:highlight w:val="none"/>
              </w:rPr>
              <w:t>喷油器雾化试验台</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2"/>
                <w:szCs w:val="22"/>
                <w:highlight w:val="none"/>
              </w:rPr>
            </w:pP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2"/>
                <w:szCs w:val="22"/>
                <w:highlight w:val="none"/>
              </w:rPr>
            </w:pP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Cs w:val="21"/>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65</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 w:val="22"/>
                <w:szCs w:val="22"/>
                <w:highlight w:val="none"/>
              </w:rPr>
            </w:pPr>
            <w:r>
              <w:rPr>
                <w:rStyle w:val="63"/>
                <w:rFonts w:hint="default"/>
                <w:color w:val="auto"/>
                <w:highlight w:val="none"/>
              </w:rPr>
              <w:t>宣传标牌</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1只</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2"/>
                <w:szCs w:val="22"/>
                <w:highlight w:val="none"/>
              </w:rPr>
            </w:pP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Cs w:val="21"/>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66</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 w:val="22"/>
                <w:szCs w:val="22"/>
                <w:highlight w:val="none"/>
              </w:rPr>
            </w:pPr>
            <w:r>
              <w:rPr>
                <w:rStyle w:val="63"/>
                <w:rFonts w:hint="default"/>
                <w:color w:val="auto"/>
                <w:highlight w:val="none"/>
              </w:rPr>
              <w:t>实训室监控设备</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1套</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2"/>
                <w:szCs w:val="22"/>
                <w:highlight w:val="none"/>
              </w:rPr>
            </w:pP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Cs w:val="21"/>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67</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auto"/>
                <w:sz w:val="22"/>
                <w:szCs w:val="22"/>
                <w:highlight w:val="none"/>
              </w:rPr>
            </w:pPr>
            <w:r>
              <w:rPr>
                <w:rStyle w:val="63"/>
                <w:rFonts w:hint="default"/>
                <w:color w:val="auto"/>
                <w:highlight w:val="none"/>
              </w:rPr>
              <w:t>风扇、桌椅等杂物</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color w:val="auto"/>
                <w:sz w:val="22"/>
                <w:szCs w:val="22"/>
                <w:highlight w:val="none"/>
              </w:rPr>
            </w:pPr>
            <w:r>
              <w:rPr>
                <w:rStyle w:val="63"/>
                <w:rFonts w:hint="default"/>
                <w:color w:val="auto"/>
                <w:highlight w:val="none"/>
              </w:rPr>
              <w:t>1批</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2"/>
                <w:szCs w:val="22"/>
                <w:highlight w:val="none"/>
              </w:rPr>
            </w:pP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Cs w:val="21"/>
                <w:highlight w:val="none"/>
              </w:rPr>
            </w:pPr>
          </w:p>
        </w:tc>
        <w:tc>
          <w:tcPr>
            <w:tcW w:w="1320" w:type="dxa"/>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3" w:hRule="atLeast"/>
          <w:jc w:val="center"/>
        </w:trPr>
        <w:tc>
          <w:tcPr>
            <w:tcW w:w="450" w:type="dxa"/>
            <w:vMerge w:val="continue"/>
            <w:tcBorders>
              <w:left w:val="single" w:color="000000" w:sz="8" w:space="0"/>
              <w:bottom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bottom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6705" w:type="dxa"/>
            <w:gridSpan w:val="9"/>
            <w:tcBorders>
              <w:top w:val="single" w:color="000000" w:sz="4" w:space="0"/>
              <w:left w:val="single" w:color="000000" w:sz="8" w:space="0"/>
              <w:bottom w:val="single" w:color="000000" w:sz="8" w:space="0"/>
              <w:right w:val="single" w:color="000000" w:sz="4" w:space="0"/>
            </w:tcBorders>
            <w:shd w:val="clear" w:color="auto" w:fill="auto"/>
          </w:tcPr>
          <w:p>
            <w:pPr>
              <w:widowControl/>
              <w:jc w:val="center"/>
              <w:textAlignment w:val="top"/>
              <w:rPr>
                <w:rFonts w:ascii="宋体" w:hAnsi="宋体" w:cs="宋体"/>
                <w:b/>
                <w:bCs/>
                <w:color w:val="auto"/>
                <w:sz w:val="24"/>
                <w:szCs w:val="24"/>
                <w:highlight w:val="none"/>
              </w:rPr>
            </w:pPr>
          </w:p>
        </w:tc>
        <w:tc>
          <w:tcPr>
            <w:tcW w:w="1320" w:type="dxa"/>
            <w:tcBorders>
              <w:top w:val="single" w:color="000000" w:sz="4" w:space="0"/>
              <w:left w:val="single" w:color="000000" w:sz="4"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b/>
                <w:bCs/>
                <w:color w:val="auto"/>
                <w:sz w:val="22"/>
                <w:szCs w:val="22"/>
                <w:highlight w:val="none"/>
              </w:rPr>
            </w:pPr>
          </w:p>
        </w:tc>
      </w:tr>
      <w:tr>
        <w:tblPrEx>
          <w:tblCellMar>
            <w:top w:w="0" w:type="dxa"/>
            <w:left w:w="108" w:type="dxa"/>
            <w:bottom w:w="0" w:type="dxa"/>
            <w:right w:w="108" w:type="dxa"/>
          </w:tblCellMar>
        </w:tblPrEx>
        <w:trPr>
          <w:trHeight w:val="300" w:hRule="atLeast"/>
          <w:jc w:val="center"/>
        </w:trPr>
        <w:tc>
          <w:tcPr>
            <w:tcW w:w="450" w:type="dxa"/>
            <w:vMerge w:val="restart"/>
            <w:tcBorders>
              <w:top w:val="nil"/>
              <w:left w:val="single" w:color="000000" w:sz="8" w:space="0"/>
              <w:right w:val="single" w:color="000000" w:sz="8" w:space="0"/>
            </w:tcBorders>
            <w:shd w:val="clear" w:color="auto" w:fill="auto"/>
          </w:tcPr>
          <w:p>
            <w:pPr>
              <w:widowControl/>
              <w:textAlignment w:val="top"/>
              <w:rPr>
                <w:rFonts w:ascii="宋体" w:hAnsi="宋体" w:cs="宋体"/>
                <w:b/>
                <w:bCs/>
                <w:color w:val="auto"/>
                <w:kern w:val="0"/>
                <w:sz w:val="24"/>
                <w:szCs w:val="24"/>
                <w:highlight w:val="none"/>
              </w:rPr>
            </w:pPr>
          </w:p>
          <w:p>
            <w:pPr>
              <w:widowControl/>
              <w:textAlignment w:val="top"/>
              <w:rPr>
                <w:rFonts w:ascii="宋体" w:hAnsi="宋体" w:cs="宋体"/>
                <w:b/>
                <w:bCs/>
                <w:color w:val="auto"/>
                <w:kern w:val="0"/>
                <w:sz w:val="24"/>
                <w:szCs w:val="24"/>
                <w:highlight w:val="none"/>
              </w:rPr>
            </w:pPr>
          </w:p>
          <w:p>
            <w:pPr>
              <w:widowControl/>
              <w:textAlignment w:val="top"/>
              <w:rPr>
                <w:rFonts w:ascii="宋体" w:hAnsi="宋体" w:cs="宋体"/>
                <w:b/>
                <w:bCs/>
                <w:color w:val="auto"/>
                <w:kern w:val="0"/>
                <w:sz w:val="24"/>
                <w:szCs w:val="24"/>
                <w:highlight w:val="none"/>
              </w:rPr>
            </w:pPr>
          </w:p>
          <w:p>
            <w:pPr>
              <w:widowControl/>
              <w:textAlignment w:val="top"/>
              <w:rPr>
                <w:rFonts w:ascii="宋体" w:hAnsi="宋体" w:cs="宋体"/>
                <w:b/>
                <w:bCs/>
                <w:color w:val="auto"/>
                <w:kern w:val="0"/>
                <w:sz w:val="24"/>
                <w:szCs w:val="24"/>
                <w:highlight w:val="none"/>
              </w:rPr>
            </w:pPr>
          </w:p>
          <w:p>
            <w:pPr>
              <w:widowControl/>
              <w:textAlignment w:val="top"/>
              <w:rPr>
                <w:rFonts w:ascii="宋体" w:hAnsi="宋体" w:cs="宋体"/>
                <w:b/>
                <w:bCs/>
                <w:color w:val="auto"/>
                <w:kern w:val="0"/>
                <w:sz w:val="24"/>
                <w:szCs w:val="24"/>
                <w:highlight w:val="none"/>
              </w:rPr>
            </w:pPr>
          </w:p>
          <w:p>
            <w:pPr>
              <w:widowControl/>
              <w:textAlignment w:val="top"/>
              <w:rPr>
                <w:rFonts w:ascii="宋体" w:hAnsi="宋体" w:cs="宋体"/>
                <w:b/>
                <w:bCs/>
                <w:color w:val="auto"/>
                <w:kern w:val="0"/>
                <w:sz w:val="24"/>
                <w:szCs w:val="24"/>
                <w:highlight w:val="none"/>
              </w:rPr>
            </w:pPr>
          </w:p>
          <w:p>
            <w:pPr>
              <w:widowControl/>
              <w:textAlignment w:val="top"/>
              <w:rPr>
                <w:rFonts w:ascii="宋体" w:hAnsi="宋体" w:cs="宋体"/>
                <w:b/>
                <w:bCs/>
                <w:color w:val="auto"/>
                <w:kern w:val="0"/>
                <w:sz w:val="24"/>
                <w:szCs w:val="24"/>
                <w:highlight w:val="none"/>
              </w:rPr>
            </w:pPr>
          </w:p>
          <w:p>
            <w:pPr>
              <w:widowControl/>
              <w:textAlignment w:val="top"/>
              <w:rPr>
                <w:rFonts w:ascii="宋体" w:hAnsi="宋体" w:cs="宋体"/>
                <w:b/>
                <w:bCs/>
                <w:color w:val="auto"/>
                <w:kern w:val="0"/>
                <w:sz w:val="24"/>
                <w:szCs w:val="24"/>
                <w:highlight w:val="none"/>
              </w:rPr>
            </w:pPr>
          </w:p>
          <w:p>
            <w:pPr>
              <w:widowControl/>
              <w:textAlignment w:val="top"/>
              <w:rPr>
                <w:rFonts w:ascii="宋体" w:hAnsi="宋体" w:cs="宋体"/>
                <w:b/>
                <w:bCs/>
                <w:color w:val="auto"/>
                <w:sz w:val="24"/>
                <w:szCs w:val="24"/>
                <w:highlight w:val="none"/>
              </w:rPr>
            </w:pPr>
            <w:r>
              <w:rPr>
                <w:rFonts w:hint="eastAsia" w:ascii="宋体" w:hAnsi="宋体" w:cs="宋体"/>
                <w:b/>
                <w:bCs/>
                <w:color w:val="auto"/>
                <w:kern w:val="0"/>
                <w:sz w:val="24"/>
                <w:szCs w:val="24"/>
                <w:highlight w:val="none"/>
              </w:rPr>
              <w:t>3</w:t>
            </w:r>
          </w:p>
        </w:tc>
        <w:tc>
          <w:tcPr>
            <w:tcW w:w="727" w:type="dxa"/>
            <w:vMerge w:val="restart"/>
            <w:tcBorders>
              <w:top w:val="nil"/>
              <w:left w:val="single" w:color="000000" w:sz="8" w:space="0"/>
              <w:right w:val="single" w:color="000000" w:sz="8" w:space="0"/>
            </w:tcBorders>
            <w:shd w:val="clear" w:color="auto" w:fill="auto"/>
          </w:tcPr>
          <w:p>
            <w:pPr>
              <w:widowControl/>
              <w:jc w:val="left"/>
              <w:textAlignment w:val="top"/>
              <w:rPr>
                <w:rStyle w:val="59"/>
                <w:rFonts w:hint="default"/>
                <w:color w:val="auto"/>
                <w:highlight w:val="none"/>
              </w:rPr>
            </w:pPr>
          </w:p>
          <w:p>
            <w:pPr>
              <w:widowControl/>
              <w:jc w:val="left"/>
              <w:textAlignment w:val="top"/>
              <w:rPr>
                <w:rStyle w:val="59"/>
                <w:rFonts w:hint="default"/>
                <w:color w:val="auto"/>
                <w:highlight w:val="none"/>
              </w:rPr>
            </w:pPr>
          </w:p>
          <w:p>
            <w:pPr>
              <w:widowControl/>
              <w:jc w:val="left"/>
              <w:textAlignment w:val="top"/>
              <w:rPr>
                <w:rStyle w:val="59"/>
                <w:rFonts w:hint="default"/>
                <w:color w:val="auto"/>
                <w:highlight w:val="none"/>
              </w:rPr>
            </w:pPr>
          </w:p>
          <w:p>
            <w:pPr>
              <w:widowControl/>
              <w:jc w:val="left"/>
              <w:textAlignment w:val="top"/>
              <w:rPr>
                <w:rStyle w:val="59"/>
                <w:rFonts w:hint="default"/>
                <w:color w:val="auto"/>
                <w:highlight w:val="none"/>
              </w:rPr>
            </w:pPr>
          </w:p>
          <w:p>
            <w:pPr>
              <w:widowControl/>
              <w:jc w:val="left"/>
              <w:textAlignment w:val="top"/>
              <w:rPr>
                <w:rStyle w:val="59"/>
                <w:rFonts w:hint="default"/>
                <w:color w:val="auto"/>
                <w:highlight w:val="none"/>
              </w:rPr>
            </w:pPr>
          </w:p>
          <w:p>
            <w:pPr>
              <w:widowControl/>
              <w:jc w:val="left"/>
              <w:textAlignment w:val="top"/>
              <w:rPr>
                <w:rFonts w:ascii="宋体" w:hAnsi="宋体" w:cs="宋体"/>
                <w:b/>
                <w:bCs/>
                <w:color w:val="auto"/>
                <w:sz w:val="24"/>
                <w:szCs w:val="24"/>
                <w:highlight w:val="none"/>
              </w:rPr>
            </w:pPr>
            <w:r>
              <w:rPr>
                <w:rStyle w:val="59"/>
                <w:rFonts w:hint="default"/>
                <w:color w:val="auto"/>
                <w:highlight w:val="none"/>
              </w:rPr>
              <w:t>电气与自动化实训室搬迁</w:t>
            </w:r>
          </w:p>
        </w:tc>
        <w:tc>
          <w:tcPr>
            <w:tcW w:w="782"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22"/>
                <w:szCs w:val="22"/>
                <w:highlight w:val="none"/>
              </w:rPr>
            </w:pPr>
            <w:r>
              <w:rPr>
                <w:rStyle w:val="63"/>
                <w:rFonts w:hint="default"/>
                <w:b/>
                <w:bCs/>
                <w:color w:val="auto"/>
                <w:highlight w:val="none"/>
              </w:rPr>
              <w:t>序号</w:t>
            </w:r>
          </w:p>
        </w:tc>
        <w:tc>
          <w:tcPr>
            <w:tcW w:w="2040" w:type="dxa"/>
            <w:gridSpan w:val="2"/>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22"/>
                <w:szCs w:val="22"/>
                <w:highlight w:val="none"/>
              </w:rPr>
            </w:pPr>
            <w:r>
              <w:rPr>
                <w:rStyle w:val="63"/>
                <w:rFonts w:hint="default"/>
                <w:b/>
                <w:bCs/>
                <w:color w:val="auto"/>
                <w:highlight w:val="none"/>
              </w:rPr>
              <w:t>设备名称</w:t>
            </w:r>
          </w:p>
        </w:tc>
        <w:tc>
          <w:tcPr>
            <w:tcW w:w="765"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22"/>
                <w:szCs w:val="22"/>
                <w:highlight w:val="none"/>
              </w:rPr>
            </w:pPr>
            <w:r>
              <w:rPr>
                <w:rStyle w:val="63"/>
                <w:rFonts w:hint="default"/>
                <w:b/>
                <w:bCs/>
                <w:color w:val="auto"/>
                <w:highlight w:val="none"/>
              </w:rPr>
              <w:t>设备数量</w:t>
            </w:r>
          </w:p>
        </w:tc>
        <w:tc>
          <w:tcPr>
            <w:tcW w:w="1740" w:type="dxa"/>
            <w:gridSpan w:val="2"/>
            <w:tcBorders>
              <w:top w:val="single" w:color="000000" w:sz="8" w:space="0"/>
              <w:left w:val="nil"/>
              <w:bottom w:val="single" w:color="000000" w:sz="8" w:space="0"/>
              <w:right w:val="nil"/>
            </w:tcBorders>
            <w:shd w:val="clear" w:color="auto" w:fill="auto"/>
            <w:vAlign w:val="center"/>
          </w:tcPr>
          <w:p>
            <w:pPr>
              <w:widowControl/>
              <w:jc w:val="center"/>
              <w:textAlignment w:val="center"/>
              <w:rPr>
                <w:rFonts w:ascii="宋体" w:hAnsi="宋体" w:cs="宋体"/>
                <w:b/>
                <w:bCs/>
                <w:color w:val="auto"/>
                <w:sz w:val="22"/>
                <w:szCs w:val="22"/>
                <w:highlight w:val="none"/>
              </w:rPr>
            </w:pPr>
            <w:r>
              <w:rPr>
                <w:rStyle w:val="63"/>
                <w:rFonts w:hint="default"/>
                <w:b/>
                <w:bCs/>
                <w:color w:val="auto"/>
                <w:highlight w:val="none"/>
              </w:rPr>
              <w:t>设备型号</w:t>
            </w:r>
          </w:p>
        </w:tc>
        <w:tc>
          <w:tcPr>
            <w:tcW w:w="1378" w:type="dxa"/>
            <w:gridSpan w:val="2"/>
            <w:tcBorders>
              <w:top w:val="single" w:color="000000" w:sz="8"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b/>
                <w:bCs/>
                <w:color w:val="auto"/>
                <w:sz w:val="22"/>
                <w:szCs w:val="22"/>
                <w:highlight w:val="none"/>
              </w:rPr>
            </w:pPr>
            <w:r>
              <w:rPr>
                <w:rStyle w:val="63"/>
                <w:rFonts w:hint="default"/>
                <w:b/>
                <w:bCs/>
                <w:color w:val="auto"/>
                <w:highlight w:val="none"/>
              </w:rPr>
              <w:t>备注</w:t>
            </w:r>
          </w:p>
        </w:tc>
        <w:tc>
          <w:tcPr>
            <w:tcW w:w="1320" w:type="dxa"/>
            <w:tcBorders>
              <w:top w:val="single" w:color="000000" w:sz="8" w:space="0"/>
              <w:left w:val="nil"/>
              <w:bottom w:val="nil"/>
              <w:right w:val="single" w:color="000000" w:sz="8" w:space="0"/>
            </w:tcBorders>
            <w:shd w:val="clear" w:color="auto" w:fill="auto"/>
          </w:tcPr>
          <w:p>
            <w:pPr>
              <w:jc w:val="center"/>
              <w:rPr>
                <w:rFonts w:ascii="宋体" w:hAnsi="宋体" w:cs="宋体"/>
                <w:b/>
                <w:bCs/>
                <w:color w:val="auto"/>
                <w:sz w:val="24"/>
                <w:szCs w:val="24"/>
                <w:highlight w:val="none"/>
              </w:rPr>
            </w:pPr>
          </w:p>
        </w:tc>
      </w:tr>
      <w:tr>
        <w:tblPrEx>
          <w:tblCellMar>
            <w:top w:w="0" w:type="dxa"/>
            <w:left w:w="108" w:type="dxa"/>
            <w:bottom w:w="0" w:type="dxa"/>
            <w:right w:w="108" w:type="dxa"/>
          </w:tblCellMar>
        </w:tblPrEx>
        <w:trPr>
          <w:trHeight w:val="825"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tcPr>
          <w:p>
            <w:pPr>
              <w:jc w:val="left"/>
              <w:rPr>
                <w:rFonts w:ascii="宋体" w:hAnsi="宋体" w:cs="宋体"/>
                <w:b/>
                <w:bCs/>
                <w:color w:val="auto"/>
                <w:sz w:val="24"/>
                <w:szCs w:val="24"/>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电工电子电力拖动实验装置</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5台</w:t>
            </w:r>
          </w:p>
        </w:tc>
        <w:tc>
          <w:tcPr>
            <w:tcW w:w="1740" w:type="dxa"/>
            <w:gridSpan w:val="2"/>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TH-DT</w:t>
            </w: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825" w:hRule="atLeast"/>
          <w:jc w:val="center"/>
        </w:trPr>
        <w:tc>
          <w:tcPr>
            <w:tcW w:w="450" w:type="dxa"/>
            <w:vMerge w:val="continue"/>
            <w:tcBorders>
              <w:left w:val="single" w:color="000000" w:sz="8" w:space="0"/>
              <w:right w:val="single" w:color="000000" w:sz="8" w:space="0"/>
            </w:tcBorders>
            <w:shd w:val="clear" w:color="auto" w:fill="auto"/>
          </w:tcPr>
          <w:p>
            <w:pPr>
              <w:rPr>
                <w:rFonts w:ascii="宋体" w:hAnsi="宋体" w:cs="宋体"/>
                <w:b/>
                <w:bCs/>
                <w:color w:val="auto"/>
                <w:sz w:val="24"/>
                <w:szCs w:val="24"/>
                <w:highlight w:val="none"/>
              </w:rPr>
            </w:pPr>
          </w:p>
        </w:tc>
        <w:tc>
          <w:tcPr>
            <w:tcW w:w="727" w:type="dxa"/>
            <w:vMerge w:val="continue"/>
            <w:tcBorders>
              <w:left w:val="single" w:color="000000" w:sz="8" w:space="0"/>
              <w:right w:val="single" w:color="000000" w:sz="8" w:space="0"/>
            </w:tcBorders>
            <w:shd w:val="clear" w:color="auto" w:fill="auto"/>
          </w:tcPr>
          <w:p>
            <w:pPr>
              <w:jc w:val="left"/>
              <w:rPr>
                <w:rFonts w:ascii="宋体" w:hAnsi="宋体" w:cs="宋体"/>
                <w:b/>
                <w:bCs/>
                <w:color w:val="auto"/>
                <w:sz w:val="24"/>
                <w:szCs w:val="24"/>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维修电工技能实训装置</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5台</w:t>
            </w:r>
          </w:p>
        </w:tc>
        <w:tc>
          <w:tcPr>
            <w:tcW w:w="1740" w:type="dxa"/>
            <w:gridSpan w:val="2"/>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THWD-3</w:t>
            </w: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825"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tcPr>
          <w:p>
            <w:pPr>
              <w:jc w:val="left"/>
              <w:rPr>
                <w:rFonts w:ascii="宋体" w:hAnsi="宋体" w:cs="宋体"/>
                <w:b/>
                <w:bCs/>
                <w:color w:val="auto"/>
                <w:sz w:val="24"/>
                <w:szCs w:val="24"/>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sz w:val="24"/>
                <w:szCs w:val="24"/>
                <w:highlight w:val="none"/>
                <w:lang w:eastAsia="zh-CN"/>
              </w:rPr>
              <w:t>■</w:t>
            </w:r>
            <w:r>
              <w:rPr>
                <w:rFonts w:hint="eastAsia" w:ascii="宋体" w:hAnsi="宋体" w:cs="宋体"/>
                <w:color w:val="auto"/>
                <w:kern w:val="0"/>
                <w:sz w:val="22"/>
                <w:szCs w:val="22"/>
                <w:highlight w:val="none"/>
              </w:rPr>
              <w:t>3</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Cs w:val="21"/>
                <w:highlight w:val="none"/>
                <w:lang w:bidi="ar"/>
              </w:rPr>
              <w:t>●</w:t>
            </w:r>
            <w:r>
              <w:rPr>
                <w:rStyle w:val="63"/>
                <w:rFonts w:hint="default"/>
                <w:color w:val="auto"/>
                <w:highlight w:val="none"/>
              </w:rPr>
              <w:t>透明液压与PLC实训装置</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THPYC-1B</w:t>
            </w: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825" w:hRule="atLeast"/>
          <w:jc w:val="center"/>
        </w:trPr>
        <w:tc>
          <w:tcPr>
            <w:tcW w:w="450" w:type="dxa"/>
            <w:vMerge w:val="continue"/>
            <w:tcBorders>
              <w:left w:val="single" w:color="000000" w:sz="8" w:space="0"/>
              <w:right w:val="single" w:color="000000" w:sz="8" w:space="0"/>
            </w:tcBorders>
            <w:shd w:val="clear" w:color="auto" w:fill="auto"/>
          </w:tcPr>
          <w:p>
            <w:pPr>
              <w:rPr>
                <w:rFonts w:ascii="宋体" w:hAnsi="宋体" w:cs="宋体"/>
                <w:b/>
                <w:bCs/>
                <w:color w:val="auto"/>
                <w:sz w:val="24"/>
                <w:szCs w:val="24"/>
                <w:highlight w:val="none"/>
              </w:rPr>
            </w:pPr>
          </w:p>
        </w:tc>
        <w:tc>
          <w:tcPr>
            <w:tcW w:w="727" w:type="dxa"/>
            <w:vMerge w:val="continue"/>
            <w:tcBorders>
              <w:left w:val="single" w:color="000000" w:sz="8" w:space="0"/>
              <w:right w:val="single" w:color="000000" w:sz="8" w:space="0"/>
            </w:tcBorders>
            <w:shd w:val="clear" w:color="auto" w:fill="auto"/>
          </w:tcPr>
          <w:p>
            <w:pPr>
              <w:jc w:val="left"/>
              <w:rPr>
                <w:rFonts w:ascii="宋体" w:hAnsi="宋体" w:cs="宋体"/>
                <w:b/>
                <w:bCs/>
                <w:color w:val="auto"/>
                <w:sz w:val="24"/>
                <w:szCs w:val="24"/>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sz w:val="24"/>
                <w:szCs w:val="24"/>
                <w:highlight w:val="none"/>
                <w:lang w:eastAsia="zh-CN"/>
              </w:rPr>
              <w:t>■</w:t>
            </w:r>
            <w:r>
              <w:rPr>
                <w:rFonts w:hint="eastAsia" w:ascii="宋体" w:hAnsi="宋体" w:cs="宋体"/>
                <w:color w:val="auto"/>
                <w:kern w:val="0"/>
                <w:sz w:val="22"/>
                <w:szCs w:val="22"/>
                <w:highlight w:val="none"/>
              </w:rPr>
              <w:t>4</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Cs w:val="21"/>
                <w:highlight w:val="none"/>
                <w:lang w:bidi="ar"/>
              </w:rPr>
              <w:t>●</w:t>
            </w:r>
            <w:r>
              <w:rPr>
                <w:rStyle w:val="63"/>
                <w:rFonts w:hint="default"/>
                <w:color w:val="auto"/>
                <w:highlight w:val="none"/>
              </w:rPr>
              <w:t>液压元件拆装实训台</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THHPYZ-1</w:t>
            </w: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555"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tcPr>
          <w:p>
            <w:pPr>
              <w:jc w:val="left"/>
              <w:rPr>
                <w:rFonts w:ascii="宋体" w:hAnsi="宋体" w:cs="宋体"/>
                <w:b/>
                <w:bCs/>
                <w:color w:val="auto"/>
                <w:sz w:val="24"/>
                <w:szCs w:val="24"/>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5</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电热恒温干燥箱</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202-00</w:t>
            </w: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555" w:hRule="atLeast"/>
          <w:jc w:val="center"/>
        </w:trPr>
        <w:tc>
          <w:tcPr>
            <w:tcW w:w="450" w:type="dxa"/>
            <w:vMerge w:val="continue"/>
            <w:tcBorders>
              <w:left w:val="single" w:color="000000" w:sz="8" w:space="0"/>
              <w:right w:val="single" w:color="000000" w:sz="8" w:space="0"/>
            </w:tcBorders>
            <w:shd w:val="clear" w:color="auto" w:fill="auto"/>
          </w:tcPr>
          <w:p>
            <w:pPr>
              <w:rPr>
                <w:rFonts w:ascii="宋体" w:hAnsi="宋体" w:cs="宋体"/>
                <w:b/>
                <w:bCs/>
                <w:color w:val="auto"/>
                <w:sz w:val="24"/>
                <w:szCs w:val="24"/>
                <w:highlight w:val="none"/>
              </w:rPr>
            </w:pPr>
          </w:p>
        </w:tc>
        <w:tc>
          <w:tcPr>
            <w:tcW w:w="727" w:type="dxa"/>
            <w:vMerge w:val="continue"/>
            <w:tcBorders>
              <w:left w:val="single" w:color="000000" w:sz="8" w:space="0"/>
              <w:right w:val="single" w:color="000000" w:sz="8" w:space="0"/>
            </w:tcBorders>
            <w:shd w:val="clear" w:color="auto" w:fill="auto"/>
          </w:tcPr>
          <w:p>
            <w:pPr>
              <w:jc w:val="left"/>
              <w:rPr>
                <w:rFonts w:ascii="宋体" w:hAnsi="宋体" w:cs="宋体"/>
                <w:b/>
                <w:bCs/>
                <w:color w:val="auto"/>
                <w:sz w:val="24"/>
                <w:szCs w:val="24"/>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6</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数电·模电实验</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2只</w:t>
            </w:r>
          </w:p>
        </w:tc>
        <w:tc>
          <w:tcPr>
            <w:tcW w:w="1740" w:type="dxa"/>
            <w:gridSpan w:val="2"/>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D71-2</w:t>
            </w: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393" w:hRule="exac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tcPr>
          <w:p>
            <w:pPr>
              <w:widowControl/>
              <w:jc w:val="left"/>
              <w:textAlignment w:val="top"/>
              <w:rPr>
                <w:rFonts w:ascii="宋体" w:hAnsi="宋体" w:cs="宋体"/>
                <w:b/>
                <w:bCs/>
                <w:color w:val="auto"/>
                <w:sz w:val="24"/>
                <w:szCs w:val="24"/>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7</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继电接触装置</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3台</w:t>
            </w:r>
          </w:p>
        </w:tc>
        <w:tc>
          <w:tcPr>
            <w:tcW w:w="1740" w:type="dxa"/>
            <w:gridSpan w:val="2"/>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D61-2</w:t>
            </w: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555" w:hRule="atLeast"/>
          <w:jc w:val="center"/>
        </w:trPr>
        <w:tc>
          <w:tcPr>
            <w:tcW w:w="450" w:type="dxa"/>
            <w:vMerge w:val="continue"/>
            <w:tcBorders>
              <w:left w:val="single" w:color="000000" w:sz="8" w:space="0"/>
              <w:right w:val="single" w:color="000000" w:sz="8" w:space="0"/>
            </w:tcBorders>
            <w:shd w:val="clear" w:color="auto" w:fill="auto"/>
          </w:tcPr>
          <w:p>
            <w:pPr>
              <w:rPr>
                <w:rFonts w:ascii="宋体" w:hAnsi="宋体" w:cs="宋体"/>
                <w:b/>
                <w:bCs/>
                <w:color w:val="auto"/>
                <w:sz w:val="24"/>
                <w:szCs w:val="24"/>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8</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电路基础实验箱</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2只</w:t>
            </w:r>
          </w:p>
        </w:tc>
        <w:tc>
          <w:tcPr>
            <w:tcW w:w="1740" w:type="dxa"/>
            <w:gridSpan w:val="2"/>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DGJ-03</w:t>
            </w: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555"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9</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交流电路实验箱</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3只</w:t>
            </w:r>
          </w:p>
        </w:tc>
        <w:tc>
          <w:tcPr>
            <w:tcW w:w="1740" w:type="dxa"/>
            <w:gridSpan w:val="2"/>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DGJ-04</w:t>
            </w: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555" w:hRule="atLeast"/>
          <w:jc w:val="center"/>
        </w:trPr>
        <w:tc>
          <w:tcPr>
            <w:tcW w:w="450" w:type="dxa"/>
            <w:vMerge w:val="continue"/>
            <w:tcBorders>
              <w:left w:val="single" w:color="000000" w:sz="8" w:space="0"/>
              <w:right w:val="single" w:color="000000" w:sz="8" w:space="0"/>
            </w:tcBorders>
            <w:shd w:val="clear" w:color="auto" w:fill="auto"/>
          </w:tcPr>
          <w:p>
            <w:pPr>
              <w:widowControl/>
              <w:textAlignment w:val="top"/>
              <w:rPr>
                <w:rFonts w:ascii="宋体" w:hAnsi="宋体" w:cs="宋体"/>
                <w:b/>
                <w:bCs/>
                <w:color w:val="auto"/>
                <w:sz w:val="24"/>
                <w:szCs w:val="24"/>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10</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双作用油缸</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MF29-37YC</w:t>
            </w: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825"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11</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三相鼠笼式异步电功机</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5台</w:t>
            </w:r>
          </w:p>
        </w:tc>
        <w:tc>
          <w:tcPr>
            <w:tcW w:w="1740" w:type="dxa"/>
            <w:gridSpan w:val="2"/>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WDJ26</w:t>
            </w: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825"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12</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三相鼠笼式异步电功机</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10台</w:t>
            </w:r>
          </w:p>
        </w:tc>
        <w:tc>
          <w:tcPr>
            <w:tcW w:w="1740" w:type="dxa"/>
            <w:gridSpan w:val="2"/>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WDJ24</w:t>
            </w: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825"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13</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三相双速异步电动机</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4只</w:t>
            </w:r>
          </w:p>
        </w:tc>
        <w:tc>
          <w:tcPr>
            <w:tcW w:w="1740" w:type="dxa"/>
            <w:gridSpan w:val="2"/>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WDJ22</w:t>
            </w: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825"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14</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三相鼠笼式异步电功机</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5只</w:t>
            </w:r>
          </w:p>
        </w:tc>
        <w:tc>
          <w:tcPr>
            <w:tcW w:w="1740" w:type="dxa"/>
            <w:gridSpan w:val="2"/>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WDJ24-1</w:t>
            </w: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825"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15</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二位二通电磁换向阀</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2只</w:t>
            </w:r>
          </w:p>
        </w:tc>
        <w:tc>
          <w:tcPr>
            <w:tcW w:w="1740" w:type="dxa"/>
            <w:gridSpan w:val="2"/>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MF29-37YC</w:t>
            </w: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825"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nil"/>
              <w:left w:val="single" w:color="000000" w:sz="8" w:space="0"/>
              <w:bottom w:val="single" w:color="auto" w:sz="4"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16</w:t>
            </w:r>
          </w:p>
        </w:tc>
        <w:tc>
          <w:tcPr>
            <w:tcW w:w="2040" w:type="dxa"/>
            <w:gridSpan w:val="2"/>
            <w:tcBorders>
              <w:top w:val="nil"/>
              <w:left w:val="nil"/>
              <w:bottom w:val="single" w:color="auto" w:sz="4"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二位四通电磁换向阀</w:t>
            </w:r>
          </w:p>
        </w:tc>
        <w:tc>
          <w:tcPr>
            <w:tcW w:w="765" w:type="dxa"/>
            <w:tcBorders>
              <w:top w:val="nil"/>
              <w:left w:val="single" w:color="000000" w:sz="8" w:space="0"/>
              <w:bottom w:val="single" w:color="auto" w:sz="4"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2只</w:t>
            </w:r>
          </w:p>
        </w:tc>
        <w:tc>
          <w:tcPr>
            <w:tcW w:w="1740" w:type="dxa"/>
            <w:gridSpan w:val="2"/>
            <w:tcBorders>
              <w:top w:val="nil"/>
              <w:left w:val="nil"/>
              <w:bottom w:val="single" w:color="auto" w:sz="4"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MF29-37YC</w:t>
            </w:r>
          </w:p>
        </w:tc>
        <w:tc>
          <w:tcPr>
            <w:tcW w:w="1378" w:type="dxa"/>
            <w:gridSpan w:val="2"/>
            <w:tcBorders>
              <w:top w:val="nil"/>
              <w:left w:val="nil"/>
              <w:bottom w:val="single" w:color="auto" w:sz="4" w:space="0"/>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825"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single" w:color="auto" w:sz="4"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17</w:t>
            </w:r>
          </w:p>
        </w:tc>
        <w:tc>
          <w:tcPr>
            <w:tcW w:w="2040" w:type="dxa"/>
            <w:gridSpan w:val="2"/>
            <w:tcBorders>
              <w:top w:val="single" w:color="auto" w:sz="4" w:space="0"/>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三位四通电磁换向阀</w:t>
            </w:r>
          </w:p>
        </w:tc>
        <w:tc>
          <w:tcPr>
            <w:tcW w:w="765" w:type="dxa"/>
            <w:tcBorders>
              <w:top w:val="single" w:color="auto" w:sz="4"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2只</w:t>
            </w:r>
          </w:p>
        </w:tc>
        <w:tc>
          <w:tcPr>
            <w:tcW w:w="1740" w:type="dxa"/>
            <w:gridSpan w:val="2"/>
            <w:tcBorders>
              <w:top w:val="single" w:color="auto" w:sz="4"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MF29-37YC</w:t>
            </w:r>
          </w:p>
        </w:tc>
        <w:tc>
          <w:tcPr>
            <w:tcW w:w="1378" w:type="dxa"/>
            <w:gridSpan w:val="2"/>
            <w:tcBorders>
              <w:top w:val="single" w:color="auto" w:sz="4" w:space="0"/>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555"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18</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电磁制动器</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2只</w:t>
            </w:r>
          </w:p>
        </w:tc>
        <w:tc>
          <w:tcPr>
            <w:tcW w:w="1740" w:type="dxa"/>
            <w:gridSpan w:val="2"/>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D2S-40</w:t>
            </w: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555"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19</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自动化仪表台</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8台</w:t>
            </w:r>
          </w:p>
        </w:tc>
        <w:tc>
          <w:tcPr>
            <w:tcW w:w="1740" w:type="dxa"/>
            <w:gridSpan w:val="2"/>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LPQP-1</w:t>
            </w: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70"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20</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柜式空调</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129"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nil"/>
              <w:left w:val="single" w:color="000000" w:sz="8" w:space="0"/>
              <w:bottom w:val="nil"/>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21</w:t>
            </w:r>
          </w:p>
        </w:tc>
        <w:tc>
          <w:tcPr>
            <w:tcW w:w="2040" w:type="dxa"/>
            <w:gridSpan w:val="2"/>
            <w:tcBorders>
              <w:top w:val="nil"/>
              <w:left w:val="nil"/>
              <w:bottom w:val="nil"/>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实训耗材（</w:t>
            </w:r>
            <w:r>
              <w:rPr>
                <w:rStyle w:val="66"/>
                <w:rFonts w:hint="default"/>
                <w:color w:val="auto"/>
                <w:highlight w:val="none"/>
              </w:rPr>
              <w:t>电工工具、电工仪表、电缆电线、日光灯具、其他灯具、电机、一些继电器及其他电子元器件）</w:t>
            </w:r>
          </w:p>
        </w:tc>
        <w:tc>
          <w:tcPr>
            <w:tcW w:w="765" w:type="dxa"/>
            <w:tcBorders>
              <w:top w:val="nil"/>
              <w:left w:val="single" w:color="000000" w:sz="8" w:space="0"/>
              <w:bottom w:val="nil"/>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1批</w:t>
            </w:r>
          </w:p>
        </w:tc>
        <w:tc>
          <w:tcPr>
            <w:tcW w:w="1740" w:type="dxa"/>
            <w:gridSpan w:val="2"/>
            <w:tcBorders>
              <w:top w:val="nil"/>
              <w:left w:val="nil"/>
              <w:bottom w:val="nil"/>
              <w:right w:val="single" w:color="000000" w:sz="8"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300" w:hRule="atLeast"/>
          <w:jc w:val="center"/>
        </w:trPr>
        <w:tc>
          <w:tcPr>
            <w:tcW w:w="450" w:type="dxa"/>
            <w:vMerge w:val="continue"/>
            <w:tcBorders>
              <w:left w:val="single" w:color="000000" w:sz="8" w:space="0"/>
              <w:bottom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bottom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6705" w:type="dxa"/>
            <w:gridSpan w:val="9"/>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b/>
                <w:bCs/>
                <w:color w:val="auto"/>
                <w:sz w:val="22"/>
                <w:szCs w:val="22"/>
                <w:highlight w:val="none"/>
              </w:rPr>
            </w:pPr>
          </w:p>
        </w:tc>
        <w:tc>
          <w:tcPr>
            <w:tcW w:w="1320" w:type="dxa"/>
            <w:tcBorders>
              <w:top w:val="nil"/>
              <w:left w:val="nil"/>
              <w:bottom w:val="nil"/>
              <w:right w:val="single" w:color="000000" w:sz="8" w:space="0"/>
            </w:tcBorders>
            <w:shd w:val="clear" w:color="auto" w:fill="auto"/>
            <w:noWrap/>
            <w:vAlign w:val="center"/>
          </w:tcPr>
          <w:p>
            <w:pPr>
              <w:widowControl/>
              <w:jc w:val="center"/>
              <w:textAlignment w:val="center"/>
              <w:rPr>
                <w:rFonts w:ascii="宋体" w:hAnsi="宋体" w:cs="宋体"/>
                <w:b/>
                <w:bCs/>
                <w:color w:val="auto"/>
                <w:sz w:val="22"/>
                <w:szCs w:val="22"/>
                <w:highlight w:val="none"/>
              </w:rPr>
            </w:pPr>
          </w:p>
        </w:tc>
      </w:tr>
      <w:tr>
        <w:tblPrEx>
          <w:tblCellMar>
            <w:top w:w="0" w:type="dxa"/>
            <w:left w:w="108" w:type="dxa"/>
            <w:bottom w:w="0" w:type="dxa"/>
            <w:right w:w="108" w:type="dxa"/>
          </w:tblCellMar>
        </w:tblPrEx>
        <w:trPr>
          <w:trHeight w:val="300" w:hRule="atLeast"/>
          <w:jc w:val="center"/>
        </w:trPr>
        <w:tc>
          <w:tcPr>
            <w:tcW w:w="450" w:type="dxa"/>
            <w:vMerge w:val="restart"/>
            <w:tcBorders>
              <w:top w:val="nil"/>
              <w:left w:val="single" w:color="000000" w:sz="8" w:space="0"/>
              <w:right w:val="single" w:color="000000" w:sz="8" w:space="0"/>
            </w:tcBorders>
            <w:shd w:val="clear" w:color="auto" w:fill="auto"/>
          </w:tcPr>
          <w:p>
            <w:pPr>
              <w:widowControl/>
              <w:textAlignment w:val="top"/>
              <w:rPr>
                <w:rFonts w:ascii="宋体" w:hAnsi="宋体" w:cs="宋体"/>
                <w:b/>
                <w:bCs/>
                <w:color w:val="auto"/>
                <w:kern w:val="0"/>
                <w:sz w:val="24"/>
                <w:szCs w:val="24"/>
                <w:highlight w:val="none"/>
              </w:rPr>
            </w:pPr>
          </w:p>
          <w:p>
            <w:pPr>
              <w:widowControl/>
              <w:textAlignment w:val="top"/>
              <w:rPr>
                <w:rFonts w:ascii="宋体" w:hAnsi="宋体" w:cs="宋体"/>
                <w:b/>
                <w:bCs/>
                <w:color w:val="auto"/>
                <w:kern w:val="0"/>
                <w:sz w:val="24"/>
                <w:szCs w:val="24"/>
                <w:highlight w:val="none"/>
              </w:rPr>
            </w:pPr>
          </w:p>
          <w:p>
            <w:pPr>
              <w:widowControl/>
              <w:textAlignment w:val="top"/>
              <w:rPr>
                <w:rFonts w:ascii="宋体" w:hAnsi="宋体" w:cs="宋体"/>
                <w:b/>
                <w:bCs/>
                <w:color w:val="auto"/>
                <w:kern w:val="0"/>
                <w:sz w:val="24"/>
                <w:szCs w:val="24"/>
                <w:highlight w:val="none"/>
              </w:rPr>
            </w:pPr>
          </w:p>
          <w:p>
            <w:pPr>
              <w:widowControl/>
              <w:textAlignment w:val="top"/>
              <w:rPr>
                <w:rFonts w:ascii="宋体" w:hAnsi="宋体" w:cs="宋体"/>
                <w:b/>
                <w:bCs/>
                <w:color w:val="auto"/>
                <w:kern w:val="0"/>
                <w:sz w:val="24"/>
                <w:szCs w:val="24"/>
                <w:highlight w:val="none"/>
              </w:rPr>
            </w:pPr>
          </w:p>
          <w:p>
            <w:pPr>
              <w:widowControl/>
              <w:textAlignment w:val="top"/>
              <w:rPr>
                <w:rFonts w:ascii="宋体" w:hAnsi="宋体" w:cs="宋体"/>
                <w:b/>
                <w:bCs/>
                <w:color w:val="auto"/>
                <w:sz w:val="24"/>
                <w:szCs w:val="24"/>
                <w:highlight w:val="none"/>
              </w:rPr>
            </w:pPr>
            <w:r>
              <w:rPr>
                <w:rFonts w:hint="eastAsia" w:ascii="宋体" w:hAnsi="宋体" w:cs="宋体"/>
                <w:b/>
                <w:bCs/>
                <w:color w:val="auto"/>
                <w:kern w:val="0"/>
                <w:sz w:val="24"/>
                <w:szCs w:val="24"/>
                <w:highlight w:val="none"/>
              </w:rPr>
              <w:t>4</w:t>
            </w:r>
          </w:p>
        </w:tc>
        <w:tc>
          <w:tcPr>
            <w:tcW w:w="727" w:type="dxa"/>
            <w:vMerge w:val="restart"/>
            <w:tcBorders>
              <w:top w:val="nil"/>
              <w:left w:val="single" w:color="000000" w:sz="8" w:space="0"/>
              <w:right w:val="single" w:color="000000" w:sz="8" w:space="0"/>
            </w:tcBorders>
            <w:shd w:val="clear" w:color="auto" w:fill="auto"/>
          </w:tcPr>
          <w:p>
            <w:pPr>
              <w:widowControl/>
              <w:jc w:val="left"/>
              <w:textAlignment w:val="top"/>
              <w:rPr>
                <w:rStyle w:val="59"/>
                <w:rFonts w:hint="default"/>
                <w:color w:val="auto"/>
                <w:highlight w:val="none"/>
              </w:rPr>
            </w:pPr>
          </w:p>
          <w:p>
            <w:pPr>
              <w:widowControl/>
              <w:jc w:val="left"/>
              <w:textAlignment w:val="top"/>
              <w:rPr>
                <w:rStyle w:val="59"/>
                <w:rFonts w:hint="default"/>
                <w:color w:val="auto"/>
                <w:highlight w:val="none"/>
              </w:rPr>
            </w:pPr>
          </w:p>
          <w:p>
            <w:pPr>
              <w:widowControl/>
              <w:jc w:val="left"/>
              <w:textAlignment w:val="top"/>
              <w:rPr>
                <w:rFonts w:ascii="宋体" w:hAnsi="宋体" w:cs="宋体"/>
                <w:b/>
                <w:bCs/>
                <w:color w:val="auto"/>
                <w:sz w:val="24"/>
                <w:szCs w:val="24"/>
                <w:highlight w:val="none"/>
              </w:rPr>
            </w:pPr>
            <w:r>
              <w:rPr>
                <w:rStyle w:val="59"/>
                <w:rFonts w:hint="default"/>
                <w:color w:val="auto"/>
                <w:highlight w:val="none"/>
              </w:rPr>
              <w:t>钳工实训室搬迁</w:t>
            </w: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22"/>
                <w:szCs w:val="22"/>
                <w:highlight w:val="none"/>
              </w:rPr>
            </w:pPr>
            <w:r>
              <w:rPr>
                <w:rStyle w:val="63"/>
                <w:rFonts w:hint="default"/>
                <w:b/>
                <w:bCs/>
                <w:color w:val="auto"/>
                <w:highlight w:val="none"/>
              </w:rPr>
              <w:t>序号</w:t>
            </w:r>
          </w:p>
        </w:tc>
        <w:tc>
          <w:tcPr>
            <w:tcW w:w="2040" w:type="dxa"/>
            <w:gridSpan w:val="2"/>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22"/>
                <w:szCs w:val="22"/>
                <w:highlight w:val="none"/>
              </w:rPr>
            </w:pPr>
            <w:r>
              <w:rPr>
                <w:rStyle w:val="63"/>
                <w:rFonts w:hint="default"/>
                <w:b/>
                <w:bCs/>
                <w:color w:val="auto"/>
                <w:highlight w:val="none"/>
              </w:rPr>
              <w:t>设备名称</w:t>
            </w:r>
          </w:p>
        </w:tc>
        <w:tc>
          <w:tcPr>
            <w:tcW w:w="76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22"/>
                <w:szCs w:val="22"/>
                <w:highlight w:val="none"/>
              </w:rPr>
            </w:pPr>
            <w:r>
              <w:rPr>
                <w:rStyle w:val="63"/>
                <w:rFonts w:hint="default"/>
                <w:b/>
                <w:bCs/>
                <w:color w:val="auto"/>
                <w:highlight w:val="none"/>
              </w:rPr>
              <w:t>设备数量</w:t>
            </w:r>
          </w:p>
        </w:tc>
        <w:tc>
          <w:tcPr>
            <w:tcW w:w="1740" w:type="dxa"/>
            <w:gridSpan w:val="2"/>
            <w:tcBorders>
              <w:top w:val="nil"/>
              <w:left w:val="nil"/>
              <w:bottom w:val="single" w:color="000000" w:sz="8" w:space="0"/>
              <w:right w:val="single" w:color="auto" w:sz="4" w:space="0"/>
            </w:tcBorders>
            <w:shd w:val="clear" w:color="auto" w:fill="auto"/>
            <w:vAlign w:val="center"/>
          </w:tcPr>
          <w:p>
            <w:pPr>
              <w:widowControl/>
              <w:jc w:val="center"/>
              <w:textAlignment w:val="center"/>
              <w:rPr>
                <w:rFonts w:ascii="宋体" w:hAnsi="宋体" w:cs="宋体"/>
                <w:b/>
                <w:bCs/>
                <w:color w:val="auto"/>
                <w:sz w:val="22"/>
                <w:szCs w:val="22"/>
                <w:highlight w:val="none"/>
              </w:rPr>
            </w:pPr>
            <w:r>
              <w:rPr>
                <w:rStyle w:val="63"/>
                <w:rFonts w:hint="default"/>
                <w:b/>
                <w:bCs/>
                <w:color w:val="auto"/>
                <w:highlight w:val="none"/>
              </w:rPr>
              <w:t>设备型号</w:t>
            </w:r>
          </w:p>
        </w:tc>
        <w:tc>
          <w:tcPr>
            <w:tcW w:w="137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auto"/>
                <w:sz w:val="22"/>
                <w:szCs w:val="22"/>
                <w:highlight w:val="none"/>
              </w:rPr>
            </w:pPr>
            <w:r>
              <w:rPr>
                <w:rStyle w:val="63"/>
                <w:rFonts w:hint="default"/>
                <w:b/>
                <w:bCs/>
                <w:color w:val="auto"/>
                <w:highlight w:val="none"/>
              </w:rPr>
              <w:t>备注</w:t>
            </w:r>
          </w:p>
        </w:tc>
        <w:tc>
          <w:tcPr>
            <w:tcW w:w="1320" w:type="dxa"/>
            <w:tcBorders>
              <w:top w:val="single" w:color="000000" w:sz="4" w:space="0"/>
              <w:left w:val="single" w:color="auto" w:sz="4" w:space="0"/>
              <w:bottom w:val="single" w:color="000000" w:sz="4" w:space="0"/>
              <w:right w:val="single" w:color="000000" w:sz="4" w:space="0"/>
            </w:tcBorders>
            <w:shd w:val="clear" w:color="auto" w:fill="auto"/>
          </w:tcPr>
          <w:p>
            <w:pPr>
              <w:jc w:val="center"/>
              <w:rPr>
                <w:rFonts w:ascii="宋体" w:hAnsi="宋体" w:cs="宋体"/>
                <w:color w:val="auto"/>
                <w:sz w:val="24"/>
                <w:szCs w:val="24"/>
                <w:highlight w:val="none"/>
              </w:rPr>
            </w:pPr>
          </w:p>
        </w:tc>
      </w:tr>
      <w:tr>
        <w:tblPrEx>
          <w:tblCellMar>
            <w:top w:w="0" w:type="dxa"/>
            <w:left w:w="108" w:type="dxa"/>
            <w:bottom w:w="0" w:type="dxa"/>
            <w:right w:w="108" w:type="dxa"/>
          </w:tblCellMar>
        </w:tblPrEx>
        <w:trPr>
          <w:trHeight w:val="555"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tcPr>
          <w:p>
            <w:pPr>
              <w:jc w:val="left"/>
              <w:rPr>
                <w:rFonts w:ascii="宋体" w:hAnsi="宋体" w:cs="宋体"/>
                <w:b/>
                <w:bCs/>
                <w:color w:val="auto"/>
                <w:sz w:val="24"/>
                <w:szCs w:val="24"/>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钳工工作台</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10台</w:t>
            </w:r>
          </w:p>
        </w:tc>
        <w:tc>
          <w:tcPr>
            <w:tcW w:w="1740" w:type="dxa"/>
            <w:gridSpan w:val="2"/>
            <w:tcBorders>
              <w:top w:val="nil"/>
              <w:left w:val="nil"/>
              <w:bottom w:val="single" w:color="000000" w:sz="8" w:space="0"/>
              <w:right w:val="single" w:color="auto"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铁质</w:t>
            </w:r>
          </w:p>
        </w:tc>
        <w:tc>
          <w:tcPr>
            <w:tcW w:w="137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color w:val="auto"/>
                <w:sz w:val="22"/>
                <w:szCs w:val="22"/>
                <w:highlight w:val="none"/>
              </w:rPr>
            </w:pPr>
          </w:p>
        </w:tc>
        <w:tc>
          <w:tcPr>
            <w:tcW w:w="1320" w:type="dxa"/>
            <w:vMerge w:val="restart"/>
            <w:tcBorders>
              <w:top w:val="single" w:color="000000" w:sz="4" w:space="0"/>
              <w:left w:val="single" w:color="auto" w:sz="4" w:space="0"/>
              <w:right w:val="single" w:color="000000" w:sz="4" w:space="0"/>
            </w:tcBorders>
            <w:shd w:val="clear" w:color="auto" w:fill="auto"/>
          </w:tcPr>
          <w:p>
            <w:pPr>
              <w:jc w:val="center"/>
              <w:rPr>
                <w:rFonts w:ascii="宋体" w:hAnsi="宋体" w:cs="宋体"/>
                <w:color w:val="auto"/>
                <w:sz w:val="24"/>
                <w:szCs w:val="24"/>
                <w:highlight w:val="none"/>
              </w:rPr>
            </w:pPr>
          </w:p>
        </w:tc>
      </w:tr>
      <w:tr>
        <w:tblPrEx>
          <w:tblCellMar>
            <w:top w:w="0" w:type="dxa"/>
            <w:left w:w="108" w:type="dxa"/>
            <w:bottom w:w="0" w:type="dxa"/>
            <w:right w:w="108" w:type="dxa"/>
          </w:tblCellMar>
        </w:tblPrEx>
        <w:trPr>
          <w:trHeight w:val="300" w:hRule="atLeast"/>
          <w:jc w:val="center"/>
        </w:trPr>
        <w:tc>
          <w:tcPr>
            <w:tcW w:w="450" w:type="dxa"/>
            <w:vMerge w:val="continue"/>
            <w:tcBorders>
              <w:left w:val="single" w:color="000000" w:sz="8" w:space="0"/>
              <w:right w:val="single" w:color="000000" w:sz="8" w:space="0"/>
            </w:tcBorders>
            <w:shd w:val="clear" w:color="auto" w:fill="auto"/>
          </w:tcPr>
          <w:p>
            <w:pPr>
              <w:rPr>
                <w:rFonts w:ascii="宋体" w:hAnsi="宋体" w:cs="宋体"/>
                <w:b/>
                <w:bCs/>
                <w:color w:val="auto"/>
                <w:sz w:val="24"/>
                <w:szCs w:val="24"/>
                <w:highlight w:val="none"/>
              </w:rPr>
            </w:pPr>
          </w:p>
        </w:tc>
        <w:tc>
          <w:tcPr>
            <w:tcW w:w="727" w:type="dxa"/>
            <w:vMerge w:val="continue"/>
            <w:tcBorders>
              <w:left w:val="single" w:color="000000" w:sz="8" w:space="0"/>
              <w:right w:val="single" w:color="000000" w:sz="8" w:space="0"/>
            </w:tcBorders>
            <w:shd w:val="clear" w:color="auto" w:fill="auto"/>
          </w:tcPr>
          <w:p>
            <w:pPr>
              <w:jc w:val="left"/>
              <w:rPr>
                <w:rFonts w:ascii="宋体" w:hAnsi="宋体" w:cs="宋体"/>
                <w:b/>
                <w:bCs/>
                <w:color w:val="auto"/>
                <w:sz w:val="24"/>
                <w:szCs w:val="24"/>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工具柜</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1只</w:t>
            </w:r>
          </w:p>
        </w:tc>
        <w:tc>
          <w:tcPr>
            <w:tcW w:w="1740" w:type="dxa"/>
            <w:gridSpan w:val="2"/>
            <w:tcBorders>
              <w:top w:val="nil"/>
              <w:left w:val="nil"/>
              <w:bottom w:val="single" w:color="000000" w:sz="8" w:space="0"/>
              <w:right w:val="single" w:color="auto" w:sz="4"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铁质</w:t>
            </w:r>
          </w:p>
        </w:tc>
        <w:tc>
          <w:tcPr>
            <w:tcW w:w="137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color w:val="auto"/>
                <w:sz w:val="22"/>
                <w:szCs w:val="22"/>
                <w:highlight w:val="none"/>
              </w:rPr>
            </w:pPr>
          </w:p>
        </w:tc>
        <w:tc>
          <w:tcPr>
            <w:tcW w:w="1320" w:type="dxa"/>
            <w:vMerge w:val="continue"/>
            <w:tcBorders>
              <w:left w:val="single" w:color="auto" w:sz="4" w:space="0"/>
              <w:right w:val="single" w:color="000000" w:sz="4" w:space="0"/>
            </w:tcBorders>
            <w:shd w:val="clear" w:color="auto" w:fill="auto"/>
          </w:tcPr>
          <w:p>
            <w:pPr>
              <w:jc w:val="center"/>
              <w:rPr>
                <w:rFonts w:ascii="宋体" w:hAnsi="宋体" w:cs="宋体"/>
                <w:color w:val="auto"/>
                <w:sz w:val="24"/>
                <w:szCs w:val="24"/>
                <w:highlight w:val="none"/>
              </w:rPr>
            </w:pPr>
          </w:p>
        </w:tc>
      </w:tr>
      <w:tr>
        <w:tblPrEx>
          <w:tblCellMar>
            <w:top w:w="0" w:type="dxa"/>
            <w:left w:w="108" w:type="dxa"/>
            <w:bottom w:w="0" w:type="dxa"/>
            <w:right w:w="108" w:type="dxa"/>
          </w:tblCellMar>
        </w:tblPrEx>
        <w:trPr>
          <w:trHeight w:val="414" w:hRule="exac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tcPr>
          <w:p>
            <w:pPr>
              <w:widowControl/>
              <w:jc w:val="left"/>
              <w:textAlignment w:val="top"/>
              <w:rPr>
                <w:rFonts w:ascii="宋体" w:hAnsi="宋体" w:cs="宋体"/>
                <w:b/>
                <w:bCs/>
                <w:color w:val="auto"/>
                <w:sz w:val="24"/>
                <w:szCs w:val="24"/>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耗材</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1批</w:t>
            </w:r>
          </w:p>
        </w:tc>
        <w:tc>
          <w:tcPr>
            <w:tcW w:w="1740" w:type="dxa"/>
            <w:gridSpan w:val="2"/>
            <w:tcBorders>
              <w:top w:val="nil"/>
              <w:left w:val="nil"/>
              <w:bottom w:val="single" w:color="000000" w:sz="8" w:space="0"/>
              <w:right w:val="single" w:color="auto"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color w:val="auto"/>
                <w:sz w:val="22"/>
                <w:szCs w:val="22"/>
                <w:highlight w:val="none"/>
              </w:rPr>
            </w:pPr>
          </w:p>
        </w:tc>
        <w:tc>
          <w:tcPr>
            <w:tcW w:w="1320" w:type="dxa"/>
            <w:vMerge w:val="continue"/>
            <w:tcBorders>
              <w:left w:val="single" w:color="auto" w:sz="4" w:space="0"/>
              <w:right w:val="single" w:color="000000" w:sz="4" w:space="0"/>
            </w:tcBorders>
            <w:shd w:val="clear" w:color="auto" w:fill="auto"/>
          </w:tcPr>
          <w:p>
            <w:pPr>
              <w:jc w:val="center"/>
              <w:rPr>
                <w:rFonts w:ascii="宋体" w:hAnsi="宋体" w:cs="宋体"/>
                <w:color w:val="auto"/>
                <w:sz w:val="24"/>
                <w:szCs w:val="24"/>
                <w:highlight w:val="none"/>
              </w:rPr>
            </w:pPr>
          </w:p>
        </w:tc>
      </w:tr>
      <w:tr>
        <w:tblPrEx>
          <w:tblCellMar>
            <w:top w:w="0" w:type="dxa"/>
            <w:left w:w="108" w:type="dxa"/>
            <w:bottom w:w="0" w:type="dxa"/>
            <w:right w:w="108" w:type="dxa"/>
          </w:tblCellMar>
        </w:tblPrEx>
        <w:trPr>
          <w:trHeight w:val="300" w:hRule="atLeast"/>
          <w:jc w:val="center"/>
        </w:trPr>
        <w:tc>
          <w:tcPr>
            <w:tcW w:w="450" w:type="dxa"/>
            <w:vMerge w:val="continue"/>
            <w:tcBorders>
              <w:left w:val="single" w:color="000000" w:sz="8" w:space="0"/>
              <w:right w:val="single" w:color="000000" w:sz="8" w:space="0"/>
            </w:tcBorders>
            <w:shd w:val="clear" w:color="auto" w:fill="auto"/>
          </w:tcPr>
          <w:p>
            <w:pPr>
              <w:rPr>
                <w:rFonts w:ascii="宋体" w:hAnsi="宋体" w:cs="宋体"/>
                <w:b/>
                <w:bCs/>
                <w:color w:val="auto"/>
                <w:sz w:val="24"/>
                <w:szCs w:val="24"/>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nil"/>
              <w:left w:val="single" w:color="000000" w:sz="8" w:space="0"/>
              <w:bottom w:val="nil"/>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w:t>
            </w:r>
          </w:p>
        </w:tc>
        <w:tc>
          <w:tcPr>
            <w:tcW w:w="2040" w:type="dxa"/>
            <w:gridSpan w:val="2"/>
            <w:tcBorders>
              <w:top w:val="nil"/>
              <w:left w:val="nil"/>
              <w:bottom w:val="nil"/>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工具</w:t>
            </w:r>
          </w:p>
        </w:tc>
        <w:tc>
          <w:tcPr>
            <w:tcW w:w="765" w:type="dxa"/>
            <w:tcBorders>
              <w:top w:val="nil"/>
              <w:left w:val="single" w:color="000000" w:sz="8" w:space="0"/>
              <w:bottom w:val="nil"/>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1批</w:t>
            </w:r>
          </w:p>
        </w:tc>
        <w:tc>
          <w:tcPr>
            <w:tcW w:w="1740" w:type="dxa"/>
            <w:gridSpan w:val="2"/>
            <w:tcBorders>
              <w:top w:val="nil"/>
              <w:left w:val="nil"/>
              <w:bottom w:val="nil"/>
              <w:right w:val="single" w:color="auto" w:sz="4"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color w:val="auto"/>
                <w:sz w:val="22"/>
                <w:szCs w:val="22"/>
                <w:highlight w:val="none"/>
              </w:rPr>
            </w:pPr>
          </w:p>
        </w:tc>
        <w:tc>
          <w:tcPr>
            <w:tcW w:w="1320" w:type="dxa"/>
            <w:vMerge w:val="continue"/>
            <w:tcBorders>
              <w:left w:val="single" w:color="auto" w:sz="4" w:space="0"/>
              <w:bottom w:val="single" w:color="000000" w:sz="4" w:space="0"/>
              <w:right w:val="single" w:color="000000" w:sz="4" w:space="0"/>
            </w:tcBorders>
            <w:shd w:val="clear" w:color="auto" w:fill="auto"/>
          </w:tcPr>
          <w:p>
            <w:pPr>
              <w:jc w:val="center"/>
              <w:rPr>
                <w:rFonts w:ascii="宋体" w:hAnsi="宋体" w:cs="宋体"/>
                <w:color w:val="auto"/>
                <w:sz w:val="24"/>
                <w:szCs w:val="24"/>
                <w:highlight w:val="none"/>
              </w:rPr>
            </w:pPr>
          </w:p>
        </w:tc>
      </w:tr>
      <w:tr>
        <w:tblPrEx>
          <w:tblCellMar>
            <w:top w:w="0" w:type="dxa"/>
            <w:left w:w="108" w:type="dxa"/>
            <w:bottom w:w="0" w:type="dxa"/>
            <w:right w:w="108" w:type="dxa"/>
          </w:tblCellMar>
        </w:tblPrEx>
        <w:trPr>
          <w:trHeight w:val="315" w:hRule="atLeast"/>
          <w:jc w:val="center"/>
        </w:trPr>
        <w:tc>
          <w:tcPr>
            <w:tcW w:w="450" w:type="dxa"/>
            <w:vMerge w:val="continue"/>
            <w:tcBorders>
              <w:left w:val="single" w:color="000000" w:sz="8" w:space="0"/>
              <w:bottom w:val="single" w:color="000000" w:sz="8" w:space="0"/>
              <w:right w:val="single" w:color="000000" w:sz="8" w:space="0"/>
            </w:tcBorders>
            <w:shd w:val="clear" w:color="auto" w:fill="auto"/>
          </w:tcPr>
          <w:p>
            <w:pPr>
              <w:widowControl/>
              <w:textAlignment w:val="top"/>
              <w:rPr>
                <w:rFonts w:ascii="宋体" w:hAnsi="宋体" w:cs="宋体"/>
                <w:b/>
                <w:bCs/>
                <w:color w:val="auto"/>
                <w:sz w:val="24"/>
                <w:szCs w:val="24"/>
                <w:highlight w:val="none"/>
              </w:rPr>
            </w:pPr>
          </w:p>
        </w:tc>
        <w:tc>
          <w:tcPr>
            <w:tcW w:w="727" w:type="dxa"/>
            <w:vMerge w:val="continue"/>
            <w:tcBorders>
              <w:left w:val="single" w:color="000000" w:sz="8" w:space="0"/>
              <w:bottom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6705" w:type="dxa"/>
            <w:gridSpan w:val="9"/>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b/>
                <w:bCs/>
                <w:color w:val="auto"/>
                <w:sz w:val="22"/>
                <w:szCs w:val="22"/>
                <w:highlight w:val="none"/>
              </w:rPr>
            </w:pPr>
            <w:r>
              <w:rPr>
                <w:rFonts w:hint="eastAsia" w:ascii="宋体" w:hAnsi="宋体" w:cs="宋体"/>
                <w:b/>
                <w:bCs/>
                <w:color w:val="auto"/>
                <w:kern w:val="0"/>
                <w:sz w:val="22"/>
                <w:szCs w:val="22"/>
                <w:highlight w:val="none"/>
              </w:rPr>
              <w:t>小计</w:t>
            </w:r>
          </w:p>
        </w:tc>
        <w:tc>
          <w:tcPr>
            <w:tcW w:w="132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b/>
                <w:bCs/>
                <w:color w:val="auto"/>
                <w:sz w:val="22"/>
                <w:szCs w:val="22"/>
                <w:highlight w:val="none"/>
              </w:rPr>
            </w:pPr>
          </w:p>
        </w:tc>
      </w:tr>
      <w:tr>
        <w:tblPrEx>
          <w:tblCellMar>
            <w:top w:w="0" w:type="dxa"/>
            <w:left w:w="108" w:type="dxa"/>
            <w:bottom w:w="0" w:type="dxa"/>
            <w:right w:w="108" w:type="dxa"/>
          </w:tblCellMar>
        </w:tblPrEx>
        <w:trPr>
          <w:trHeight w:val="300" w:hRule="atLeast"/>
          <w:jc w:val="center"/>
        </w:trPr>
        <w:tc>
          <w:tcPr>
            <w:tcW w:w="450" w:type="dxa"/>
            <w:vMerge w:val="restart"/>
            <w:tcBorders>
              <w:top w:val="nil"/>
              <w:left w:val="single" w:color="000000" w:sz="8" w:space="0"/>
              <w:right w:val="single" w:color="000000" w:sz="8" w:space="0"/>
            </w:tcBorders>
            <w:shd w:val="clear" w:color="auto" w:fill="auto"/>
            <w:noWrap/>
            <w:vAlign w:val="center"/>
          </w:tcPr>
          <w:p>
            <w:pPr>
              <w:widowControl/>
              <w:textAlignment w:val="top"/>
              <w:rPr>
                <w:rFonts w:ascii="宋体" w:hAnsi="宋体" w:cs="宋体"/>
                <w:b/>
                <w:bCs/>
                <w:color w:val="auto"/>
                <w:sz w:val="24"/>
                <w:szCs w:val="24"/>
                <w:highlight w:val="none"/>
              </w:rPr>
            </w:pPr>
            <w:r>
              <w:rPr>
                <w:rFonts w:hint="eastAsia" w:ascii="宋体" w:hAnsi="宋体" w:cs="宋体"/>
                <w:b/>
                <w:bCs/>
                <w:color w:val="auto"/>
                <w:kern w:val="0"/>
                <w:sz w:val="24"/>
                <w:szCs w:val="24"/>
                <w:highlight w:val="none"/>
              </w:rPr>
              <w:t>5</w:t>
            </w:r>
          </w:p>
        </w:tc>
        <w:tc>
          <w:tcPr>
            <w:tcW w:w="727" w:type="dxa"/>
            <w:vMerge w:val="restart"/>
            <w:tcBorders>
              <w:top w:val="nil"/>
              <w:left w:val="single" w:color="000000" w:sz="8" w:space="0"/>
              <w:right w:val="single" w:color="000000" w:sz="8" w:space="0"/>
            </w:tcBorders>
            <w:shd w:val="clear" w:color="auto" w:fill="auto"/>
          </w:tcPr>
          <w:p>
            <w:pPr>
              <w:widowControl/>
              <w:jc w:val="left"/>
              <w:textAlignment w:val="top"/>
              <w:rPr>
                <w:rStyle w:val="59"/>
                <w:rFonts w:hint="default"/>
                <w:color w:val="auto"/>
                <w:highlight w:val="none"/>
              </w:rPr>
            </w:pPr>
          </w:p>
          <w:p>
            <w:pPr>
              <w:widowControl/>
              <w:jc w:val="left"/>
              <w:textAlignment w:val="top"/>
              <w:rPr>
                <w:rStyle w:val="59"/>
                <w:rFonts w:hint="default"/>
                <w:color w:val="auto"/>
                <w:highlight w:val="none"/>
              </w:rPr>
            </w:pPr>
          </w:p>
          <w:p>
            <w:pPr>
              <w:widowControl/>
              <w:jc w:val="left"/>
              <w:textAlignment w:val="top"/>
              <w:rPr>
                <w:rStyle w:val="59"/>
                <w:rFonts w:hint="default"/>
                <w:color w:val="auto"/>
                <w:highlight w:val="none"/>
              </w:rPr>
            </w:pPr>
          </w:p>
          <w:p>
            <w:pPr>
              <w:widowControl/>
              <w:jc w:val="left"/>
              <w:textAlignment w:val="top"/>
              <w:rPr>
                <w:rStyle w:val="59"/>
                <w:rFonts w:hint="default"/>
                <w:color w:val="auto"/>
                <w:highlight w:val="none"/>
              </w:rPr>
            </w:pPr>
          </w:p>
          <w:p>
            <w:pPr>
              <w:widowControl/>
              <w:jc w:val="left"/>
              <w:textAlignment w:val="top"/>
              <w:rPr>
                <w:rStyle w:val="59"/>
                <w:rFonts w:hint="default"/>
                <w:color w:val="auto"/>
                <w:highlight w:val="none"/>
              </w:rPr>
            </w:pPr>
          </w:p>
          <w:p>
            <w:pPr>
              <w:widowControl/>
              <w:jc w:val="left"/>
              <w:textAlignment w:val="top"/>
              <w:rPr>
                <w:rStyle w:val="59"/>
                <w:rFonts w:hint="default"/>
                <w:color w:val="auto"/>
                <w:highlight w:val="none"/>
              </w:rPr>
            </w:pPr>
          </w:p>
          <w:p>
            <w:pPr>
              <w:widowControl/>
              <w:jc w:val="left"/>
              <w:textAlignment w:val="top"/>
              <w:rPr>
                <w:rStyle w:val="59"/>
                <w:rFonts w:hint="default"/>
                <w:color w:val="auto"/>
                <w:highlight w:val="none"/>
              </w:rPr>
            </w:pPr>
          </w:p>
          <w:p>
            <w:pPr>
              <w:widowControl/>
              <w:jc w:val="left"/>
              <w:textAlignment w:val="top"/>
              <w:rPr>
                <w:rFonts w:ascii="宋体" w:hAnsi="宋体" w:cs="宋体"/>
                <w:b/>
                <w:bCs/>
                <w:color w:val="auto"/>
                <w:sz w:val="24"/>
                <w:szCs w:val="24"/>
                <w:highlight w:val="none"/>
              </w:rPr>
            </w:pPr>
            <w:r>
              <w:rPr>
                <w:rStyle w:val="59"/>
                <w:rFonts w:hint="default"/>
                <w:color w:val="auto"/>
                <w:highlight w:val="none"/>
              </w:rPr>
              <w:t>车工实训室搬迁</w:t>
            </w:r>
          </w:p>
        </w:tc>
        <w:tc>
          <w:tcPr>
            <w:tcW w:w="782"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22"/>
                <w:szCs w:val="22"/>
                <w:highlight w:val="none"/>
              </w:rPr>
            </w:pPr>
            <w:r>
              <w:rPr>
                <w:rStyle w:val="63"/>
                <w:rFonts w:hint="default"/>
                <w:b/>
                <w:bCs/>
                <w:color w:val="auto"/>
                <w:highlight w:val="none"/>
              </w:rPr>
              <w:t>序号</w:t>
            </w:r>
          </w:p>
        </w:tc>
        <w:tc>
          <w:tcPr>
            <w:tcW w:w="2040" w:type="dxa"/>
            <w:gridSpan w:val="2"/>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22"/>
                <w:szCs w:val="22"/>
                <w:highlight w:val="none"/>
              </w:rPr>
            </w:pPr>
            <w:r>
              <w:rPr>
                <w:rStyle w:val="63"/>
                <w:rFonts w:hint="default"/>
                <w:b/>
                <w:bCs/>
                <w:color w:val="auto"/>
                <w:highlight w:val="none"/>
              </w:rPr>
              <w:t>设备名称</w:t>
            </w:r>
          </w:p>
        </w:tc>
        <w:tc>
          <w:tcPr>
            <w:tcW w:w="765"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22"/>
                <w:szCs w:val="22"/>
                <w:highlight w:val="none"/>
              </w:rPr>
            </w:pPr>
            <w:r>
              <w:rPr>
                <w:rStyle w:val="63"/>
                <w:rFonts w:hint="default"/>
                <w:b/>
                <w:bCs/>
                <w:color w:val="auto"/>
                <w:highlight w:val="none"/>
              </w:rPr>
              <w:t>设备数量</w:t>
            </w:r>
          </w:p>
        </w:tc>
        <w:tc>
          <w:tcPr>
            <w:tcW w:w="1740" w:type="dxa"/>
            <w:gridSpan w:val="2"/>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22"/>
                <w:szCs w:val="22"/>
                <w:highlight w:val="none"/>
              </w:rPr>
            </w:pPr>
            <w:r>
              <w:rPr>
                <w:rStyle w:val="63"/>
                <w:rFonts w:hint="default"/>
                <w:b/>
                <w:bCs/>
                <w:color w:val="auto"/>
                <w:highlight w:val="none"/>
              </w:rPr>
              <w:t>设备型号</w:t>
            </w:r>
          </w:p>
        </w:tc>
        <w:tc>
          <w:tcPr>
            <w:tcW w:w="1378" w:type="dxa"/>
            <w:gridSpan w:val="2"/>
            <w:tcBorders>
              <w:top w:val="nil"/>
              <w:left w:val="nil"/>
              <w:bottom w:val="nil"/>
              <w:right w:val="single" w:color="000000" w:sz="8" w:space="0"/>
            </w:tcBorders>
            <w:shd w:val="clear" w:color="auto" w:fill="auto"/>
            <w:noWrap/>
            <w:vAlign w:val="center"/>
          </w:tcPr>
          <w:p>
            <w:pPr>
              <w:jc w:val="center"/>
              <w:rPr>
                <w:rFonts w:ascii="宋体" w:hAnsi="宋体" w:cs="宋体"/>
                <w:color w:val="auto"/>
                <w:kern w:val="2"/>
                <w:sz w:val="22"/>
                <w:szCs w:val="22"/>
                <w:highlight w:val="none"/>
              </w:rPr>
            </w:pPr>
            <w:r>
              <w:rPr>
                <w:rStyle w:val="63"/>
                <w:rFonts w:hint="default"/>
                <w:b/>
                <w:bCs/>
                <w:color w:val="auto"/>
                <w:highlight w:val="none"/>
              </w:rPr>
              <w:t>备注</w:t>
            </w:r>
          </w:p>
        </w:tc>
        <w:tc>
          <w:tcPr>
            <w:tcW w:w="1320" w:type="dxa"/>
            <w:tcBorders>
              <w:top w:val="nil"/>
              <w:left w:val="nil"/>
              <w:bottom w:val="nil"/>
              <w:right w:val="single" w:color="000000" w:sz="8" w:space="0"/>
            </w:tcBorders>
            <w:shd w:val="clear" w:color="auto" w:fill="auto"/>
            <w:noWrap/>
          </w:tcPr>
          <w:p>
            <w:pPr>
              <w:jc w:val="center"/>
              <w:rPr>
                <w:rFonts w:ascii="宋体" w:hAnsi="宋体" w:cs="宋体"/>
                <w:color w:val="auto"/>
                <w:kern w:val="2"/>
                <w:sz w:val="24"/>
                <w:szCs w:val="24"/>
                <w:highlight w:val="none"/>
              </w:rPr>
            </w:pPr>
          </w:p>
        </w:tc>
      </w:tr>
      <w:tr>
        <w:tblPrEx>
          <w:tblCellMar>
            <w:top w:w="0" w:type="dxa"/>
            <w:left w:w="108" w:type="dxa"/>
            <w:bottom w:w="0" w:type="dxa"/>
            <w:right w:w="108" w:type="dxa"/>
          </w:tblCellMar>
        </w:tblPrEx>
        <w:trPr>
          <w:trHeight w:val="1205" w:hRule="atLeast"/>
          <w:jc w:val="center"/>
        </w:trPr>
        <w:tc>
          <w:tcPr>
            <w:tcW w:w="450" w:type="dxa"/>
            <w:vMerge w:val="continue"/>
            <w:tcBorders>
              <w:left w:val="single" w:color="000000" w:sz="8" w:space="0"/>
              <w:right w:val="single" w:color="000000" w:sz="8" w:space="0"/>
            </w:tcBorders>
            <w:shd w:val="clear" w:color="auto" w:fill="auto"/>
          </w:tcPr>
          <w:p>
            <w:pPr>
              <w:rPr>
                <w:rFonts w:ascii="宋体" w:hAnsi="宋体" w:cs="宋体"/>
                <w:b/>
                <w:bCs/>
                <w:color w:val="auto"/>
                <w:sz w:val="24"/>
                <w:szCs w:val="24"/>
                <w:highlight w:val="none"/>
              </w:rPr>
            </w:pPr>
          </w:p>
        </w:tc>
        <w:tc>
          <w:tcPr>
            <w:tcW w:w="727" w:type="dxa"/>
            <w:vMerge w:val="continue"/>
            <w:tcBorders>
              <w:left w:val="single" w:color="000000" w:sz="8" w:space="0"/>
              <w:right w:val="single" w:color="000000" w:sz="8" w:space="0"/>
            </w:tcBorders>
            <w:shd w:val="clear" w:color="auto" w:fill="auto"/>
          </w:tcPr>
          <w:p>
            <w:pPr>
              <w:jc w:val="left"/>
              <w:rPr>
                <w:rFonts w:ascii="宋体" w:hAnsi="宋体" w:cs="宋体"/>
                <w:b/>
                <w:bCs/>
                <w:color w:val="auto"/>
                <w:sz w:val="24"/>
                <w:szCs w:val="24"/>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sz w:val="24"/>
                <w:szCs w:val="24"/>
                <w:highlight w:val="none"/>
                <w:lang w:eastAsia="zh-CN"/>
              </w:rPr>
              <w:t>■</w:t>
            </w:r>
            <w:r>
              <w:rPr>
                <w:rStyle w:val="63"/>
                <w:rFonts w:hint="default"/>
                <w:color w:val="auto"/>
                <w:highlight w:val="none"/>
              </w:rPr>
              <w:t>1</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Cs w:val="21"/>
                <w:highlight w:val="none"/>
                <w:lang w:bidi="ar"/>
              </w:rPr>
              <w:t>●</w:t>
            </w:r>
            <w:r>
              <w:rPr>
                <w:rStyle w:val="63"/>
                <w:rFonts w:hint="default"/>
                <w:color w:val="auto"/>
                <w:highlight w:val="none"/>
              </w:rPr>
              <w:t>车床</w:t>
            </w:r>
            <w:r>
              <w:rPr>
                <w:rStyle w:val="61"/>
                <w:rFonts w:hint="default"/>
                <w:color w:val="auto"/>
                <w:highlight w:val="none"/>
              </w:rPr>
              <w:t>（响应文件需提供地脚预埋固定图纸及方案）</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10台</w:t>
            </w:r>
          </w:p>
        </w:tc>
        <w:tc>
          <w:tcPr>
            <w:tcW w:w="1740" w:type="dxa"/>
            <w:gridSpan w:val="2"/>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CQ6236</w:t>
            </w: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p>
        </w:tc>
      </w:tr>
      <w:tr>
        <w:tblPrEx>
          <w:tblCellMar>
            <w:top w:w="0" w:type="dxa"/>
            <w:left w:w="108" w:type="dxa"/>
            <w:bottom w:w="0" w:type="dxa"/>
            <w:right w:w="108" w:type="dxa"/>
          </w:tblCellMar>
        </w:tblPrEx>
        <w:trPr>
          <w:trHeight w:val="555"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tcPr>
          <w:p>
            <w:pPr>
              <w:widowControl/>
              <w:jc w:val="left"/>
              <w:textAlignment w:val="top"/>
              <w:rPr>
                <w:rFonts w:ascii="宋体" w:hAnsi="宋体" w:cs="宋体"/>
                <w:b/>
                <w:bCs/>
                <w:color w:val="auto"/>
                <w:sz w:val="24"/>
                <w:szCs w:val="24"/>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台式砂轮机</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2台</w:t>
            </w:r>
          </w:p>
        </w:tc>
        <w:tc>
          <w:tcPr>
            <w:tcW w:w="1740" w:type="dxa"/>
            <w:gridSpan w:val="2"/>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S3S-250</w:t>
            </w: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300" w:hRule="atLeast"/>
          <w:jc w:val="center"/>
        </w:trPr>
        <w:tc>
          <w:tcPr>
            <w:tcW w:w="450" w:type="dxa"/>
            <w:vMerge w:val="continue"/>
            <w:tcBorders>
              <w:left w:val="single" w:color="000000" w:sz="8" w:space="0"/>
              <w:right w:val="single" w:color="000000" w:sz="8" w:space="0"/>
            </w:tcBorders>
            <w:shd w:val="clear" w:color="auto" w:fill="auto"/>
          </w:tcPr>
          <w:p>
            <w:pPr>
              <w:rPr>
                <w:rFonts w:ascii="宋体" w:hAnsi="宋体" w:cs="宋体"/>
                <w:b/>
                <w:bCs/>
                <w:color w:val="auto"/>
                <w:sz w:val="24"/>
                <w:szCs w:val="24"/>
                <w:highlight w:val="none"/>
              </w:rPr>
            </w:pPr>
          </w:p>
        </w:tc>
        <w:tc>
          <w:tcPr>
            <w:tcW w:w="727" w:type="dxa"/>
            <w:vMerge w:val="continue"/>
            <w:tcBorders>
              <w:left w:val="single" w:color="000000" w:sz="8" w:space="0"/>
              <w:right w:val="single" w:color="000000" w:sz="8" w:space="0"/>
            </w:tcBorders>
            <w:shd w:val="clear" w:color="auto" w:fill="auto"/>
          </w:tcPr>
          <w:p>
            <w:pPr>
              <w:jc w:val="left"/>
              <w:rPr>
                <w:rFonts w:ascii="宋体" w:hAnsi="宋体" w:cs="宋体"/>
                <w:b/>
                <w:bCs/>
                <w:color w:val="auto"/>
                <w:sz w:val="24"/>
                <w:szCs w:val="24"/>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台式钻床</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3台</w:t>
            </w:r>
          </w:p>
        </w:tc>
        <w:tc>
          <w:tcPr>
            <w:tcW w:w="1740" w:type="dxa"/>
            <w:gridSpan w:val="2"/>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Z4D6C</w:t>
            </w: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300"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tcPr>
          <w:p>
            <w:pPr>
              <w:jc w:val="left"/>
              <w:rPr>
                <w:rFonts w:ascii="宋体" w:hAnsi="宋体" w:cs="宋体"/>
                <w:b/>
                <w:bCs/>
                <w:color w:val="auto"/>
                <w:sz w:val="24"/>
                <w:szCs w:val="24"/>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立式钻床</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Z5025</w:t>
            </w: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414" w:hRule="exact"/>
          <w:jc w:val="center"/>
        </w:trPr>
        <w:tc>
          <w:tcPr>
            <w:tcW w:w="450" w:type="dxa"/>
            <w:vMerge w:val="continue"/>
            <w:tcBorders>
              <w:left w:val="single" w:color="000000" w:sz="8" w:space="0"/>
              <w:right w:val="single" w:color="000000" w:sz="8" w:space="0"/>
            </w:tcBorders>
            <w:shd w:val="clear" w:color="auto" w:fill="auto"/>
          </w:tcPr>
          <w:p>
            <w:pPr>
              <w:rPr>
                <w:rFonts w:ascii="宋体" w:hAnsi="宋体" w:cs="宋体"/>
                <w:b/>
                <w:bCs/>
                <w:color w:val="auto"/>
                <w:sz w:val="24"/>
                <w:szCs w:val="24"/>
                <w:highlight w:val="none"/>
              </w:rPr>
            </w:pPr>
          </w:p>
        </w:tc>
        <w:tc>
          <w:tcPr>
            <w:tcW w:w="727" w:type="dxa"/>
            <w:vMerge w:val="continue"/>
            <w:tcBorders>
              <w:left w:val="single" w:color="000000" w:sz="8" w:space="0"/>
              <w:right w:val="single" w:color="000000" w:sz="8" w:space="0"/>
            </w:tcBorders>
            <w:shd w:val="clear" w:color="auto" w:fill="auto"/>
          </w:tcPr>
          <w:p>
            <w:pPr>
              <w:widowControl/>
              <w:jc w:val="left"/>
              <w:textAlignment w:val="top"/>
              <w:rPr>
                <w:rFonts w:ascii="宋体" w:hAnsi="宋体" w:cs="宋体"/>
                <w:b/>
                <w:bCs/>
                <w:color w:val="auto"/>
                <w:sz w:val="24"/>
                <w:szCs w:val="24"/>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5</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工具柜</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1只</w:t>
            </w:r>
          </w:p>
        </w:tc>
        <w:tc>
          <w:tcPr>
            <w:tcW w:w="1740" w:type="dxa"/>
            <w:gridSpan w:val="2"/>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铁质</w:t>
            </w: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85"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6</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铣床</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X8126B</w:t>
            </w: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300" w:hRule="atLeast"/>
          <w:jc w:val="center"/>
        </w:trPr>
        <w:tc>
          <w:tcPr>
            <w:tcW w:w="450" w:type="dxa"/>
            <w:vMerge w:val="continue"/>
            <w:tcBorders>
              <w:left w:val="single" w:color="000000" w:sz="8" w:space="0"/>
              <w:right w:val="single" w:color="000000" w:sz="8" w:space="0"/>
            </w:tcBorders>
            <w:shd w:val="clear" w:color="auto" w:fill="auto"/>
          </w:tcPr>
          <w:p>
            <w:pPr>
              <w:rPr>
                <w:rFonts w:ascii="宋体" w:hAnsi="宋体" w:cs="宋体"/>
                <w:b/>
                <w:bCs/>
                <w:color w:val="auto"/>
                <w:sz w:val="24"/>
                <w:szCs w:val="24"/>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7</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台式钻床</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Z406</w:t>
            </w: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85"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8</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耗材</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1批</w:t>
            </w:r>
          </w:p>
        </w:tc>
        <w:tc>
          <w:tcPr>
            <w:tcW w:w="1740" w:type="dxa"/>
            <w:gridSpan w:val="2"/>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442" w:hRule="exact"/>
          <w:jc w:val="center"/>
        </w:trPr>
        <w:tc>
          <w:tcPr>
            <w:tcW w:w="450" w:type="dxa"/>
            <w:vMerge w:val="continue"/>
            <w:tcBorders>
              <w:left w:val="single" w:color="000000" w:sz="8" w:space="0"/>
              <w:right w:val="single" w:color="000000" w:sz="8" w:space="0"/>
            </w:tcBorders>
            <w:shd w:val="clear" w:color="auto" w:fill="auto"/>
          </w:tcPr>
          <w:p>
            <w:pPr>
              <w:widowControl/>
              <w:textAlignment w:val="top"/>
              <w:rPr>
                <w:rFonts w:ascii="宋体" w:hAnsi="宋体" w:cs="宋体"/>
                <w:b/>
                <w:bCs/>
                <w:color w:val="auto"/>
                <w:sz w:val="24"/>
                <w:szCs w:val="24"/>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9</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风扇、桌椅等</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1批</w:t>
            </w:r>
          </w:p>
        </w:tc>
        <w:tc>
          <w:tcPr>
            <w:tcW w:w="1740" w:type="dxa"/>
            <w:gridSpan w:val="2"/>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70"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nil"/>
              <w:left w:val="single" w:color="000000" w:sz="8" w:space="0"/>
              <w:bottom w:val="nil"/>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10</w:t>
            </w:r>
          </w:p>
        </w:tc>
        <w:tc>
          <w:tcPr>
            <w:tcW w:w="2040" w:type="dxa"/>
            <w:gridSpan w:val="2"/>
            <w:tcBorders>
              <w:top w:val="nil"/>
              <w:left w:val="nil"/>
              <w:bottom w:val="nil"/>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柜式空调</w:t>
            </w:r>
          </w:p>
        </w:tc>
        <w:tc>
          <w:tcPr>
            <w:tcW w:w="765" w:type="dxa"/>
            <w:tcBorders>
              <w:top w:val="nil"/>
              <w:left w:val="single" w:color="000000" w:sz="8" w:space="0"/>
              <w:bottom w:val="nil"/>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2台</w:t>
            </w:r>
          </w:p>
        </w:tc>
        <w:tc>
          <w:tcPr>
            <w:tcW w:w="1740" w:type="dxa"/>
            <w:gridSpan w:val="2"/>
            <w:tcBorders>
              <w:top w:val="nil"/>
              <w:left w:val="nil"/>
              <w:bottom w:val="nil"/>
              <w:right w:val="single" w:color="000000" w:sz="8"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300" w:hRule="atLeast"/>
          <w:jc w:val="center"/>
        </w:trPr>
        <w:tc>
          <w:tcPr>
            <w:tcW w:w="450" w:type="dxa"/>
            <w:vMerge w:val="continue"/>
            <w:tcBorders>
              <w:left w:val="single" w:color="000000" w:sz="8" w:space="0"/>
              <w:bottom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bottom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6705" w:type="dxa"/>
            <w:gridSpan w:val="9"/>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b/>
                <w:bCs/>
                <w:color w:val="auto"/>
                <w:sz w:val="22"/>
                <w:szCs w:val="22"/>
                <w:highlight w:val="none"/>
              </w:rPr>
            </w:pPr>
            <w:r>
              <w:rPr>
                <w:rFonts w:hint="eastAsia" w:ascii="宋体" w:hAnsi="宋体" w:cs="宋体"/>
                <w:b/>
                <w:bCs/>
                <w:color w:val="auto"/>
                <w:kern w:val="0"/>
                <w:sz w:val="22"/>
                <w:szCs w:val="22"/>
                <w:highlight w:val="none"/>
              </w:rPr>
              <w:t>小计</w:t>
            </w:r>
          </w:p>
        </w:tc>
        <w:tc>
          <w:tcPr>
            <w:tcW w:w="132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b/>
                <w:bCs/>
                <w:color w:val="auto"/>
                <w:sz w:val="22"/>
                <w:szCs w:val="22"/>
                <w:highlight w:val="none"/>
              </w:rPr>
            </w:pPr>
          </w:p>
        </w:tc>
      </w:tr>
      <w:tr>
        <w:tblPrEx>
          <w:tblCellMar>
            <w:top w:w="0" w:type="dxa"/>
            <w:left w:w="108" w:type="dxa"/>
            <w:bottom w:w="0" w:type="dxa"/>
            <w:right w:w="108" w:type="dxa"/>
          </w:tblCellMar>
        </w:tblPrEx>
        <w:trPr>
          <w:trHeight w:val="300" w:hRule="atLeast"/>
          <w:jc w:val="center"/>
        </w:trPr>
        <w:tc>
          <w:tcPr>
            <w:tcW w:w="450" w:type="dxa"/>
            <w:vMerge w:val="restart"/>
            <w:tcBorders>
              <w:top w:val="nil"/>
              <w:left w:val="single" w:color="000000" w:sz="8" w:space="0"/>
              <w:right w:val="single" w:color="000000" w:sz="8" w:space="0"/>
            </w:tcBorders>
            <w:shd w:val="clear" w:color="auto" w:fill="auto"/>
          </w:tcPr>
          <w:p>
            <w:pPr>
              <w:widowControl/>
              <w:textAlignment w:val="top"/>
              <w:rPr>
                <w:rFonts w:ascii="宋体" w:hAnsi="宋体" w:cs="宋体"/>
                <w:b/>
                <w:bCs/>
                <w:color w:val="auto"/>
                <w:kern w:val="0"/>
                <w:sz w:val="24"/>
                <w:szCs w:val="24"/>
                <w:highlight w:val="none"/>
              </w:rPr>
            </w:pPr>
          </w:p>
          <w:p>
            <w:pPr>
              <w:widowControl/>
              <w:textAlignment w:val="top"/>
              <w:rPr>
                <w:rFonts w:ascii="宋体" w:hAnsi="宋体" w:cs="宋体"/>
                <w:b/>
                <w:bCs/>
                <w:color w:val="auto"/>
                <w:kern w:val="0"/>
                <w:sz w:val="24"/>
                <w:szCs w:val="24"/>
                <w:highlight w:val="none"/>
              </w:rPr>
            </w:pPr>
          </w:p>
          <w:p>
            <w:pPr>
              <w:widowControl/>
              <w:textAlignment w:val="top"/>
              <w:rPr>
                <w:rFonts w:ascii="宋体" w:hAnsi="宋体" w:cs="宋体"/>
                <w:b/>
                <w:bCs/>
                <w:color w:val="auto"/>
                <w:kern w:val="0"/>
                <w:sz w:val="24"/>
                <w:szCs w:val="24"/>
                <w:highlight w:val="none"/>
              </w:rPr>
            </w:pPr>
          </w:p>
          <w:p>
            <w:pPr>
              <w:widowControl/>
              <w:textAlignment w:val="top"/>
              <w:rPr>
                <w:rFonts w:ascii="宋体" w:hAnsi="宋体" w:cs="宋体"/>
                <w:b/>
                <w:bCs/>
                <w:color w:val="auto"/>
                <w:kern w:val="0"/>
                <w:sz w:val="24"/>
                <w:szCs w:val="24"/>
                <w:highlight w:val="none"/>
              </w:rPr>
            </w:pPr>
          </w:p>
          <w:p>
            <w:pPr>
              <w:widowControl/>
              <w:textAlignment w:val="top"/>
              <w:rPr>
                <w:rFonts w:ascii="宋体" w:hAnsi="宋体" w:cs="宋体"/>
                <w:b/>
                <w:bCs/>
                <w:color w:val="auto"/>
                <w:kern w:val="0"/>
                <w:sz w:val="24"/>
                <w:szCs w:val="24"/>
                <w:highlight w:val="none"/>
              </w:rPr>
            </w:pPr>
          </w:p>
          <w:p>
            <w:pPr>
              <w:widowControl/>
              <w:textAlignment w:val="top"/>
              <w:rPr>
                <w:rFonts w:ascii="宋体" w:hAnsi="宋体" w:cs="宋体"/>
                <w:b/>
                <w:bCs/>
                <w:color w:val="auto"/>
                <w:kern w:val="0"/>
                <w:sz w:val="24"/>
                <w:szCs w:val="24"/>
                <w:highlight w:val="none"/>
              </w:rPr>
            </w:pPr>
          </w:p>
          <w:p>
            <w:pPr>
              <w:widowControl/>
              <w:textAlignment w:val="top"/>
              <w:rPr>
                <w:rFonts w:ascii="宋体" w:hAnsi="宋体" w:cs="宋体"/>
                <w:b/>
                <w:bCs/>
                <w:color w:val="auto"/>
                <w:kern w:val="0"/>
                <w:sz w:val="24"/>
                <w:szCs w:val="24"/>
                <w:highlight w:val="none"/>
              </w:rPr>
            </w:pPr>
          </w:p>
          <w:p>
            <w:pPr>
              <w:widowControl/>
              <w:textAlignment w:val="top"/>
              <w:rPr>
                <w:rFonts w:ascii="宋体" w:hAnsi="宋体" w:cs="宋体"/>
                <w:b/>
                <w:bCs/>
                <w:color w:val="auto"/>
                <w:sz w:val="24"/>
                <w:szCs w:val="24"/>
                <w:highlight w:val="none"/>
              </w:rPr>
            </w:pPr>
            <w:r>
              <w:rPr>
                <w:rFonts w:hint="eastAsia" w:ascii="宋体" w:hAnsi="宋体" w:cs="宋体"/>
                <w:b/>
                <w:bCs/>
                <w:color w:val="auto"/>
                <w:kern w:val="0"/>
                <w:sz w:val="24"/>
                <w:szCs w:val="24"/>
                <w:highlight w:val="none"/>
              </w:rPr>
              <w:t>6</w:t>
            </w:r>
          </w:p>
        </w:tc>
        <w:tc>
          <w:tcPr>
            <w:tcW w:w="727" w:type="dxa"/>
            <w:vMerge w:val="restart"/>
            <w:tcBorders>
              <w:top w:val="nil"/>
              <w:left w:val="single" w:color="000000" w:sz="8" w:space="0"/>
              <w:right w:val="single" w:color="000000" w:sz="8" w:space="0"/>
            </w:tcBorders>
            <w:shd w:val="clear" w:color="auto" w:fill="auto"/>
          </w:tcPr>
          <w:p>
            <w:pPr>
              <w:widowControl/>
              <w:jc w:val="left"/>
              <w:textAlignment w:val="top"/>
              <w:rPr>
                <w:rStyle w:val="59"/>
                <w:rFonts w:hint="default"/>
                <w:color w:val="auto"/>
                <w:highlight w:val="none"/>
              </w:rPr>
            </w:pPr>
          </w:p>
          <w:p>
            <w:pPr>
              <w:widowControl/>
              <w:jc w:val="left"/>
              <w:textAlignment w:val="top"/>
              <w:rPr>
                <w:rStyle w:val="59"/>
                <w:rFonts w:hint="default"/>
                <w:color w:val="auto"/>
                <w:highlight w:val="none"/>
              </w:rPr>
            </w:pPr>
          </w:p>
          <w:p>
            <w:pPr>
              <w:widowControl/>
              <w:jc w:val="left"/>
              <w:textAlignment w:val="top"/>
              <w:rPr>
                <w:rStyle w:val="59"/>
                <w:rFonts w:hint="default"/>
                <w:color w:val="auto"/>
                <w:highlight w:val="none"/>
              </w:rPr>
            </w:pPr>
          </w:p>
          <w:p>
            <w:pPr>
              <w:widowControl/>
              <w:jc w:val="left"/>
              <w:textAlignment w:val="top"/>
              <w:rPr>
                <w:rStyle w:val="59"/>
                <w:rFonts w:hint="default"/>
                <w:color w:val="auto"/>
                <w:highlight w:val="none"/>
              </w:rPr>
            </w:pPr>
          </w:p>
          <w:p>
            <w:pPr>
              <w:widowControl/>
              <w:jc w:val="left"/>
              <w:textAlignment w:val="top"/>
              <w:rPr>
                <w:rStyle w:val="59"/>
                <w:rFonts w:hint="default"/>
                <w:color w:val="auto"/>
                <w:highlight w:val="none"/>
              </w:rPr>
            </w:pPr>
          </w:p>
          <w:p>
            <w:pPr>
              <w:widowControl/>
              <w:jc w:val="left"/>
              <w:textAlignment w:val="top"/>
              <w:rPr>
                <w:rStyle w:val="59"/>
                <w:rFonts w:hint="default"/>
                <w:color w:val="auto"/>
                <w:highlight w:val="none"/>
              </w:rPr>
            </w:pPr>
          </w:p>
          <w:p>
            <w:pPr>
              <w:widowControl/>
              <w:jc w:val="left"/>
              <w:textAlignment w:val="top"/>
              <w:rPr>
                <w:rFonts w:ascii="宋体" w:hAnsi="宋体" w:cs="宋体"/>
                <w:b/>
                <w:bCs/>
                <w:color w:val="auto"/>
                <w:sz w:val="24"/>
                <w:szCs w:val="24"/>
                <w:highlight w:val="none"/>
              </w:rPr>
            </w:pPr>
            <w:r>
              <w:rPr>
                <w:rStyle w:val="59"/>
                <w:rFonts w:hint="default"/>
                <w:color w:val="auto"/>
                <w:highlight w:val="none"/>
              </w:rPr>
              <w:t>电气焊实训室搬迁</w:t>
            </w: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22"/>
                <w:szCs w:val="22"/>
                <w:highlight w:val="none"/>
              </w:rPr>
            </w:pPr>
            <w:r>
              <w:rPr>
                <w:rStyle w:val="63"/>
                <w:rFonts w:hint="default"/>
                <w:b/>
                <w:bCs/>
                <w:color w:val="auto"/>
                <w:highlight w:val="none"/>
              </w:rPr>
              <w:t>序号</w:t>
            </w:r>
          </w:p>
        </w:tc>
        <w:tc>
          <w:tcPr>
            <w:tcW w:w="2040" w:type="dxa"/>
            <w:gridSpan w:val="2"/>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22"/>
                <w:szCs w:val="22"/>
                <w:highlight w:val="none"/>
              </w:rPr>
            </w:pPr>
            <w:r>
              <w:rPr>
                <w:rStyle w:val="63"/>
                <w:rFonts w:hint="default"/>
                <w:b/>
                <w:bCs/>
                <w:color w:val="auto"/>
                <w:highlight w:val="none"/>
              </w:rPr>
              <w:t>设备名称</w:t>
            </w:r>
          </w:p>
        </w:tc>
        <w:tc>
          <w:tcPr>
            <w:tcW w:w="76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auto"/>
                <w:sz w:val="22"/>
                <w:szCs w:val="22"/>
                <w:highlight w:val="none"/>
              </w:rPr>
            </w:pPr>
            <w:r>
              <w:rPr>
                <w:rStyle w:val="63"/>
                <w:rFonts w:hint="default"/>
                <w:b/>
                <w:bCs/>
                <w:color w:val="auto"/>
                <w:highlight w:val="none"/>
              </w:rPr>
              <w:t>设备数量</w:t>
            </w:r>
          </w:p>
        </w:tc>
        <w:tc>
          <w:tcPr>
            <w:tcW w:w="17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b/>
                <w:bCs/>
                <w:color w:val="auto"/>
                <w:sz w:val="22"/>
                <w:szCs w:val="22"/>
                <w:highlight w:val="none"/>
              </w:rPr>
            </w:pPr>
            <w:r>
              <w:rPr>
                <w:rStyle w:val="63"/>
                <w:rFonts w:hint="default"/>
                <w:b/>
                <w:bCs/>
                <w:color w:val="auto"/>
                <w:highlight w:val="none"/>
              </w:rPr>
              <w:t>设备型号</w:t>
            </w:r>
          </w:p>
        </w:tc>
        <w:tc>
          <w:tcPr>
            <w:tcW w:w="13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kern w:val="2"/>
                <w:sz w:val="22"/>
                <w:szCs w:val="22"/>
                <w:highlight w:val="none"/>
              </w:rPr>
            </w:pPr>
            <w:r>
              <w:rPr>
                <w:rStyle w:val="63"/>
                <w:rFonts w:hint="default"/>
                <w:b/>
                <w:bCs/>
                <w:color w:val="auto"/>
                <w:highlight w:val="none"/>
              </w:rPr>
              <w:t>备注</w:t>
            </w:r>
          </w:p>
        </w:tc>
        <w:tc>
          <w:tcPr>
            <w:tcW w:w="1320" w:type="dxa"/>
            <w:tcBorders>
              <w:top w:val="nil"/>
              <w:left w:val="nil"/>
              <w:bottom w:val="nil"/>
              <w:right w:val="single" w:color="000000" w:sz="8" w:space="0"/>
            </w:tcBorders>
            <w:shd w:val="clear" w:color="auto" w:fill="auto"/>
          </w:tcPr>
          <w:p>
            <w:pPr>
              <w:jc w:val="center"/>
              <w:rPr>
                <w:rFonts w:ascii="宋体" w:hAnsi="宋体" w:cs="宋体"/>
                <w:color w:val="auto"/>
                <w:kern w:val="2"/>
                <w:sz w:val="24"/>
                <w:szCs w:val="24"/>
                <w:highlight w:val="none"/>
              </w:rPr>
            </w:pPr>
          </w:p>
        </w:tc>
      </w:tr>
      <w:tr>
        <w:tblPrEx>
          <w:tblCellMar>
            <w:top w:w="0" w:type="dxa"/>
            <w:left w:w="108" w:type="dxa"/>
            <w:bottom w:w="0" w:type="dxa"/>
            <w:right w:w="108" w:type="dxa"/>
          </w:tblCellMar>
        </w:tblPrEx>
        <w:trPr>
          <w:trHeight w:val="555"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tcPr>
          <w:p>
            <w:pPr>
              <w:jc w:val="left"/>
              <w:rPr>
                <w:rFonts w:ascii="宋体" w:hAnsi="宋体" w:cs="宋体"/>
                <w:b/>
                <w:bCs/>
                <w:color w:val="auto"/>
                <w:sz w:val="24"/>
                <w:szCs w:val="24"/>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电焊机</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7台</w:t>
            </w:r>
          </w:p>
        </w:tc>
        <w:tc>
          <w:tcPr>
            <w:tcW w:w="1740" w:type="dxa"/>
            <w:gridSpan w:val="2"/>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BX1-400-2</w:t>
            </w: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300" w:hRule="atLeast"/>
          <w:jc w:val="center"/>
        </w:trPr>
        <w:tc>
          <w:tcPr>
            <w:tcW w:w="450" w:type="dxa"/>
            <w:vMerge w:val="continue"/>
            <w:tcBorders>
              <w:left w:val="single" w:color="000000" w:sz="8" w:space="0"/>
              <w:right w:val="single" w:color="000000" w:sz="8" w:space="0"/>
            </w:tcBorders>
            <w:shd w:val="clear" w:color="auto" w:fill="auto"/>
          </w:tcPr>
          <w:p>
            <w:pPr>
              <w:rPr>
                <w:rFonts w:ascii="宋体" w:hAnsi="宋体" w:cs="宋体"/>
                <w:b/>
                <w:bCs/>
                <w:color w:val="auto"/>
                <w:sz w:val="24"/>
                <w:szCs w:val="24"/>
                <w:highlight w:val="none"/>
              </w:rPr>
            </w:pPr>
          </w:p>
        </w:tc>
        <w:tc>
          <w:tcPr>
            <w:tcW w:w="727" w:type="dxa"/>
            <w:vMerge w:val="continue"/>
            <w:tcBorders>
              <w:left w:val="single" w:color="000000" w:sz="8" w:space="0"/>
              <w:right w:val="single" w:color="000000" w:sz="8" w:space="0"/>
            </w:tcBorders>
            <w:shd w:val="clear" w:color="auto" w:fill="auto"/>
          </w:tcPr>
          <w:p>
            <w:pPr>
              <w:jc w:val="left"/>
              <w:rPr>
                <w:rFonts w:ascii="宋体" w:hAnsi="宋体" w:cs="宋体"/>
                <w:b/>
                <w:bCs/>
                <w:color w:val="auto"/>
                <w:sz w:val="24"/>
                <w:szCs w:val="24"/>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氧气瓶</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4只</w:t>
            </w:r>
          </w:p>
        </w:tc>
        <w:tc>
          <w:tcPr>
            <w:tcW w:w="1740" w:type="dxa"/>
            <w:gridSpan w:val="2"/>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300"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tcPr>
          <w:p>
            <w:pPr>
              <w:jc w:val="left"/>
              <w:rPr>
                <w:rFonts w:ascii="宋体" w:hAnsi="宋体" w:cs="宋体"/>
                <w:b/>
                <w:bCs/>
                <w:color w:val="auto"/>
                <w:sz w:val="24"/>
                <w:szCs w:val="24"/>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乙炔瓶</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4只</w:t>
            </w:r>
          </w:p>
        </w:tc>
        <w:tc>
          <w:tcPr>
            <w:tcW w:w="1740" w:type="dxa"/>
            <w:gridSpan w:val="2"/>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363" w:hRule="exact"/>
          <w:jc w:val="center"/>
        </w:trPr>
        <w:tc>
          <w:tcPr>
            <w:tcW w:w="450" w:type="dxa"/>
            <w:vMerge w:val="continue"/>
            <w:tcBorders>
              <w:left w:val="single" w:color="000000" w:sz="8" w:space="0"/>
              <w:right w:val="single" w:color="000000" w:sz="8" w:space="0"/>
            </w:tcBorders>
            <w:shd w:val="clear" w:color="auto" w:fill="auto"/>
          </w:tcPr>
          <w:p>
            <w:pPr>
              <w:rPr>
                <w:rFonts w:ascii="宋体" w:hAnsi="宋体" w:cs="宋体"/>
                <w:b/>
                <w:bCs/>
                <w:color w:val="auto"/>
                <w:sz w:val="24"/>
                <w:szCs w:val="24"/>
                <w:highlight w:val="none"/>
              </w:rPr>
            </w:pPr>
          </w:p>
        </w:tc>
        <w:tc>
          <w:tcPr>
            <w:tcW w:w="727" w:type="dxa"/>
            <w:vMerge w:val="continue"/>
            <w:tcBorders>
              <w:left w:val="single" w:color="000000" w:sz="8" w:space="0"/>
              <w:right w:val="single" w:color="000000" w:sz="8" w:space="0"/>
            </w:tcBorders>
            <w:shd w:val="clear" w:color="auto" w:fill="auto"/>
          </w:tcPr>
          <w:p>
            <w:pPr>
              <w:widowControl/>
              <w:jc w:val="left"/>
              <w:textAlignment w:val="top"/>
              <w:rPr>
                <w:rFonts w:ascii="宋体" w:hAnsi="宋体" w:cs="宋体"/>
                <w:b/>
                <w:bCs/>
                <w:color w:val="auto"/>
                <w:sz w:val="24"/>
                <w:szCs w:val="24"/>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工具柜</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2个</w:t>
            </w:r>
          </w:p>
        </w:tc>
        <w:tc>
          <w:tcPr>
            <w:tcW w:w="1740" w:type="dxa"/>
            <w:gridSpan w:val="2"/>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铁质1.8X1X0.5</w:t>
            </w: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363" w:hRule="exac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tcPr>
          <w:p>
            <w:pPr>
              <w:widowControl/>
              <w:jc w:val="left"/>
              <w:textAlignment w:val="top"/>
              <w:rPr>
                <w:rFonts w:ascii="宋体" w:hAnsi="宋体" w:cs="宋体"/>
                <w:b/>
                <w:bCs/>
                <w:color w:val="auto"/>
                <w:sz w:val="24"/>
                <w:szCs w:val="24"/>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5</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工具柜</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1个</w:t>
            </w:r>
          </w:p>
        </w:tc>
        <w:tc>
          <w:tcPr>
            <w:tcW w:w="1740" w:type="dxa"/>
            <w:gridSpan w:val="2"/>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木质1.5X1X0.6</w:t>
            </w: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442" w:hRule="exact"/>
          <w:jc w:val="center"/>
        </w:trPr>
        <w:tc>
          <w:tcPr>
            <w:tcW w:w="450" w:type="dxa"/>
            <w:vMerge w:val="continue"/>
            <w:tcBorders>
              <w:left w:val="single" w:color="000000" w:sz="8" w:space="0"/>
              <w:right w:val="single" w:color="000000" w:sz="8" w:space="0"/>
            </w:tcBorders>
            <w:shd w:val="clear" w:color="auto" w:fill="auto"/>
          </w:tcPr>
          <w:p>
            <w:pPr>
              <w:rPr>
                <w:rFonts w:ascii="宋体" w:hAnsi="宋体" w:cs="宋体"/>
                <w:b/>
                <w:bCs/>
                <w:color w:val="auto"/>
                <w:sz w:val="24"/>
                <w:szCs w:val="24"/>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6</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砂轮片切割机</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85"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7</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台钻</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1台</w:t>
            </w:r>
          </w:p>
        </w:tc>
        <w:tc>
          <w:tcPr>
            <w:tcW w:w="1740" w:type="dxa"/>
            <w:gridSpan w:val="2"/>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Z4025</w:t>
            </w: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300" w:hRule="atLeast"/>
          <w:jc w:val="center"/>
        </w:trPr>
        <w:tc>
          <w:tcPr>
            <w:tcW w:w="450" w:type="dxa"/>
            <w:vMerge w:val="continue"/>
            <w:tcBorders>
              <w:left w:val="single" w:color="000000" w:sz="8" w:space="0"/>
              <w:right w:val="single" w:color="000000" w:sz="8" w:space="0"/>
            </w:tcBorders>
            <w:shd w:val="clear" w:color="auto" w:fill="auto"/>
          </w:tcPr>
          <w:p>
            <w:pPr>
              <w:widowControl/>
              <w:textAlignment w:val="top"/>
              <w:rPr>
                <w:rFonts w:ascii="宋体" w:hAnsi="宋体" w:cs="宋体"/>
                <w:b/>
                <w:bCs/>
                <w:color w:val="auto"/>
                <w:sz w:val="24"/>
                <w:szCs w:val="24"/>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8</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氧气瓶</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5只</w:t>
            </w:r>
          </w:p>
        </w:tc>
        <w:tc>
          <w:tcPr>
            <w:tcW w:w="1740" w:type="dxa"/>
            <w:gridSpan w:val="2"/>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85"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9</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乙炔瓶</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3只</w:t>
            </w:r>
          </w:p>
        </w:tc>
        <w:tc>
          <w:tcPr>
            <w:tcW w:w="1740" w:type="dxa"/>
            <w:gridSpan w:val="2"/>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85" w:hRule="atLeas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10</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焊工台</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5台</w:t>
            </w:r>
          </w:p>
        </w:tc>
        <w:tc>
          <w:tcPr>
            <w:tcW w:w="1740" w:type="dxa"/>
            <w:gridSpan w:val="2"/>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363" w:hRule="exac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11</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气瓶至工作台管线</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2组</w:t>
            </w:r>
          </w:p>
        </w:tc>
        <w:tc>
          <w:tcPr>
            <w:tcW w:w="1740" w:type="dxa"/>
            <w:gridSpan w:val="2"/>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重新制作15米</w:t>
            </w: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363" w:hRule="exac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12</w:t>
            </w:r>
          </w:p>
        </w:tc>
        <w:tc>
          <w:tcPr>
            <w:tcW w:w="2040" w:type="dxa"/>
            <w:gridSpan w:val="2"/>
            <w:tcBorders>
              <w:top w:val="nil"/>
              <w:left w:val="nil"/>
              <w:bottom w:val="single" w:color="000000" w:sz="8" w:space="0"/>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割枪、工具</w:t>
            </w:r>
          </w:p>
        </w:tc>
        <w:tc>
          <w:tcPr>
            <w:tcW w:w="76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1批</w:t>
            </w:r>
          </w:p>
        </w:tc>
        <w:tc>
          <w:tcPr>
            <w:tcW w:w="1740" w:type="dxa"/>
            <w:gridSpan w:val="2"/>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363" w:hRule="exact"/>
          <w:jc w:val="center"/>
        </w:trPr>
        <w:tc>
          <w:tcPr>
            <w:tcW w:w="450"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82" w:type="dxa"/>
            <w:gridSpan w:val="2"/>
            <w:tcBorders>
              <w:top w:val="nil"/>
              <w:left w:val="single" w:color="000000" w:sz="8" w:space="0"/>
              <w:bottom w:val="nil"/>
              <w:right w:val="single" w:color="000000" w:sz="8"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13</w:t>
            </w:r>
          </w:p>
        </w:tc>
        <w:tc>
          <w:tcPr>
            <w:tcW w:w="2040" w:type="dxa"/>
            <w:gridSpan w:val="2"/>
            <w:tcBorders>
              <w:top w:val="nil"/>
              <w:left w:val="nil"/>
              <w:bottom w:val="nil"/>
              <w:right w:val="nil"/>
            </w:tcBorders>
            <w:shd w:val="clear" w:color="auto" w:fill="auto"/>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管、板耗材</w:t>
            </w:r>
          </w:p>
        </w:tc>
        <w:tc>
          <w:tcPr>
            <w:tcW w:w="765" w:type="dxa"/>
            <w:tcBorders>
              <w:top w:val="nil"/>
              <w:left w:val="single" w:color="000000" w:sz="8" w:space="0"/>
              <w:bottom w:val="nil"/>
              <w:right w:val="single" w:color="000000" w:sz="8"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Style w:val="63"/>
                <w:rFonts w:hint="default"/>
                <w:color w:val="auto"/>
                <w:highlight w:val="none"/>
              </w:rPr>
              <w:t>1批</w:t>
            </w:r>
          </w:p>
        </w:tc>
        <w:tc>
          <w:tcPr>
            <w:tcW w:w="1740" w:type="dxa"/>
            <w:gridSpan w:val="2"/>
            <w:tcBorders>
              <w:top w:val="nil"/>
              <w:left w:val="nil"/>
              <w:bottom w:val="nil"/>
              <w:right w:val="single" w:color="000000" w:sz="8" w:space="0"/>
            </w:tcBorders>
            <w:shd w:val="clear" w:color="auto" w:fill="auto"/>
            <w:vAlign w:val="center"/>
          </w:tcPr>
          <w:p>
            <w:pPr>
              <w:jc w:val="center"/>
              <w:rPr>
                <w:rFonts w:ascii="宋体" w:hAnsi="宋体" w:cs="宋体"/>
                <w:color w:val="auto"/>
                <w:sz w:val="22"/>
                <w:szCs w:val="22"/>
                <w:highlight w:val="none"/>
              </w:rPr>
            </w:pPr>
          </w:p>
        </w:tc>
        <w:tc>
          <w:tcPr>
            <w:tcW w:w="1378" w:type="dxa"/>
            <w:gridSpan w:val="2"/>
            <w:tcBorders>
              <w:top w:val="nil"/>
              <w:left w:val="nil"/>
              <w:bottom w:val="nil"/>
              <w:right w:val="nil"/>
            </w:tcBorders>
            <w:shd w:val="clear" w:color="auto" w:fill="auto"/>
            <w:noWrap/>
            <w:vAlign w:val="center"/>
          </w:tcPr>
          <w:p>
            <w:pPr>
              <w:rPr>
                <w:rFonts w:ascii="宋体" w:hAnsi="宋体" w:cs="宋体"/>
                <w:color w:val="auto"/>
                <w:sz w:val="22"/>
                <w:szCs w:val="22"/>
                <w:highlight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300" w:hRule="atLeast"/>
          <w:jc w:val="center"/>
        </w:trPr>
        <w:tc>
          <w:tcPr>
            <w:tcW w:w="450" w:type="dxa"/>
            <w:vMerge w:val="continue"/>
            <w:tcBorders>
              <w:left w:val="single" w:color="000000" w:sz="8" w:space="0"/>
              <w:bottom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727" w:type="dxa"/>
            <w:vMerge w:val="continue"/>
            <w:tcBorders>
              <w:left w:val="single" w:color="000000" w:sz="8" w:space="0"/>
              <w:bottom w:val="single" w:color="000000" w:sz="8" w:space="0"/>
              <w:right w:val="single" w:color="000000" w:sz="8" w:space="0"/>
            </w:tcBorders>
            <w:shd w:val="clear" w:color="auto" w:fill="auto"/>
            <w:noWrap/>
            <w:vAlign w:val="center"/>
          </w:tcPr>
          <w:p>
            <w:pPr>
              <w:rPr>
                <w:rFonts w:ascii="宋体" w:hAnsi="宋体" w:cs="宋体"/>
                <w:color w:val="auto"/>
                <w:sz w:val="22"/>
                <w:szCs w:val="22"/>
                <w:highlight w:val="none"/>
              </w:rPr>
            </w:pPr>
          </w:p>
        </w:tc>
        <w:tc>
          <w:tcPr>
            <w:tcW w:w="6705" w:type="dxa"/>
            <w:gridSpan w:val="9"/>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b/>
                <w:bCs/>
                <w:color w:val="auto"/>
                <w:sz w:val="22"/>
                <w:szCs w:val="22"/>
                <w:highlight w:val="none"/>
              </w:rPr>
            </w:pPr>
          </w:p>
        </w:tc>
        <w:tc>
          <w:tcPr>
            <w:tcW w:w="132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b/>
                <w:bCs/>
                <w:color w:val="auto"/>
                <w:sz w:val="22"/>
                <w:szCs w:val="22"/>
                <w:highlight w:val="none"/>
              </w:rPr>
            </w:pPr>
          </w:p>
        </w:tc>
      </w:tr>
    </w:tbl>
    <w:p>
      <w:pPr>
        <w:rPr>
          <w:color w:val="auto"/>
          <w:highlight w:val="none"/>
        </w:rPr>
      </w:pPr>
    </w:p>
    <w:p>
      <w:pPr>
        <w:rPr>
          <w:color w:val="auto"/>
          <w:highlight w:val="none"/>
        </w:rPr>
      </w:pPr>
    </w:p>
    <w:p>
      <w:pPr>
        <w:rPr>
          <w:color w:val="auto"/>
          <w:highlight w:val="none"/>
        </w:rPr>
      </w:pPr>
    </w:p>
    <w:p>
      <w:pPr>
        <w:pStyle w:val="22"/>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jc w:val="center"/>
        <w:rPr>
          <w:rFonts w:hint="eastAsia" w:ascii="仿宋_GB2312" w:hAnsi="仿宋_GB2312" w:eastAsia="仿宋_GB2312" w:cs="仿宋_GB2312"/>
          <w:b/>
          <w:bCs/>
          <w:color w:val="auto"/>
          <w:sz w:val="48"/>
          <w:szCs w:val="48"/>
          <w:highlight w:val="none"/>
        </w:rPr>
      </w:pPr>
      <w:r>
        <w:rPr>
          <w:rFonts w:hint="eastAsia" w:ascii="仿宋_GB2312" w:hAnsi="仿宋_GB2312" w:eastAsia="仿宋_GB2312" w:cs="仿宋_GB2312"/>
          <w:b/>
          <w:bCs/>
          <w:color w:val="auto"/>
          <w:sz w:val="32"/>
          <w:szCs w:val="32"/>
          <w:highlight w:val="none"/>
        </w:rPr>
        <w:t>第三包：航海操纵模拟器实训室搬迁</w:t>
      </w:r>
      <w:r>
        <w:rPr>
          <w:rFonts w:hint="eastAsia" w:ascii="仿宋_GB2312" w:hAnsi="仿宋_GB2312" w:eastAsia="仿宋_GB2312" w:cs="仿宋_GB2312"/>
          <w:b/>
          <w:bCs/>
          <w:color w:val="auto"/>
          <w:sz w:val="48"/>
          <w:szCs w:val="48"/>
          <w:highlight w:val="none"/>
        </w:rPr>
        <w:t xml:space="preserve"> </w:t>
      </w:r>
    </w:p>
    <w:p>
      <w:pPr>
        <w:jc w:val="center"/>
        <w:rPr>
          <w:rFonts w:ascii="仿宋_GB2312" w:hAnsi="仿宋_GB2312" w:eastAsia="仿宋_GB2312" w:cs="仿宋_GB2312"/>
          <w:b/>
          <w:bCs/>
          <w:color w:val="auto"/>
          <w:sz w:val="48"/>
          <w:szCs w:val="48"/>
          <w:highlight w:val="none"/>
        </w:rPr>
      </w:pPr>
      <w:r>
        <w:rPr>
          <w:rFonts w:hint="eastAsia" w:ascii="仿宋_GB2312" w:hAnsi="仿宋_GB2312" w:eastAsia="仿宋_GB2312" w:cs="仿宋_GB2312"/>
          <w:b/>
          <w:bCs/>
          <w:color w:val="auto"/>
          <w:sz w:val="24"/>
          <w:szCs w:val="24"/>
          <w:highlight w:val="none"/>
          <w:lang w:eastAsia="zh-CN"/>
        </w:rPr>
        <w:t>（大连海大智龙科技有限公司航海模拟器V.Dragon 5000）</w:t>
      </w:r>
      <w:r>
        <w:rPr>
          <w:rFonts w:hint="eastAsia" w:ascii="仿宋_GB2312" w:hAnsi="仿宋_GB2312" w:eastAsia="仿宋_GB2312" w:cs="仿宋_GB2312"/>
          <w:b/>
          <w:bCs/>
          <w:color w:val="auto"/>
          <w:sz w:val="48"/>
          <w:szCs w:val="48"/>
          <w:highlight w:val="none"/>
        </w:rPr>
        <w:t xml:space="preserve">  </w:t>
      </w:r>
    </w:p>
    <w:p>
      <w:pPr>
        <w:spacing w:line="360" w:lineRule="auto"/>
        <w:jc w:val="left"/>
        <w:rPr>
          <w:rFonts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一、</w:t>
      </w:r>
      <w:r>
        <w:rPr>
          <w:rFonts w:hint="eastAsia" w:ascii="仿宋_GB2312" w:hAnsi="仿宋_GB2312" w:eastAsia="仿宋_GB2312" w:cs="仿宋_GB2312"/>
          <w:b/>
          <w:bCs/>
          <w:color w:val="auto"/>
          <w:sz w:val="24"/>
          <w:szCs w:val="24"/>
          <w:highlight w:val="none"/>
        </w:rPr>
        <w:t xml:space="preserve">搬迁要求 </w:t>
      </w:r>
    </w:p>
    <w:p>
      <w:pPr>
        <w:spacing w:line="360" w:lineRule="auto"/>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搬迁要求以以实训室为单位进行拆卸、包装、运输和安装调试工作</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要求自合肥市太湖东路22号（老校区）搬迁至新桥校区（新校区）指定实训室。</w:t>
      </w:r>
      <w:r>
        <w:rPr>
          <w:rFonts w:hint="eastAsia" w:ascii="仿宋_GB2312" w:hAnsi="仿宋_GB2312" w:eastAsia="仿宋_GB2312" w:cs="仿宋_GB2312"/>
          <w:color w:val="auto"/>
          <w:sz w:val="24"/>
          <w:szCs w:val="24"/>
          <w:highlight w:val="none"/>
        </w:rPr>
        <w:t>搬迁工作含</w:t>
      </w:r>
      <w:r>
        <w:rPr>
          <w:rFonts w:hint="eastAsia" w:ascii="仿宋_GB2312" w:hAnsi="仿宋_GB2312" w:eastAsia="仿宋_GB2312" w:cs="仿宋_GB2312"/>
          <w:color w:val="auto"/>
          <w:sz w:val="24"/>
          <w:szCs w:val="24"/>
          <w:highlight w:val="none"/>
          <w:lang w:eastAsia="zh-CN"/>
        </w:rPr>
        <w:t>老校区</w:t>
      </w:r>
      <w:r>
        <w:rPr>
          <w:rFonts w:hint="eastAsia" w:ascii="仿宋_GB2312" w:hAnsi="仿宋_GB2312" w:eastAsia="仿宋_GB2312" w:cs="仿宋_GB2312"/>
          <w:color w:val="auto"/>
          <w:sz w:val="24"/>
          <w:szCs w:val="24"/>
          <w:highlight w:val="none"/>
        </w:rPr>
        <w:t>实训</w:t>
      </w:r>
      <w:r>
        <w:rPr>
          <w:rFonts w:hint="eastAsia" w:ascii="仿宋_GB2312" w:hAnsi="仿宋_GB2312" w:eastAsia="仿宋_GB2312" w:cs="仿宋_GB2312"/>
          <w:color w:val="auto"/>
          <w:sz w:val="24"/>
          <w:szCs w:val="24"/>
          <w:highlight w:val="none"/>
          <w:lang w:eastAsia="zh-CN"/>
        </w:rPr>
        <w:t>室</w:t>
      </w:r>
      <w:r>
        <w:rPr>
          <w:rFonts w:hint="eastAsia" w:ascii="仿宋_GB2312" w:hAnsi="仿宋_GB2312" w:eastAsia="仿宋_GB2312" w:cs="仿宋_GB2312"/>
          <w:color w:val="auto"/>
          <w:sz w:val="24"/>
          <w:szCs w:val="24"/>
          <w:highlight w:val="none"/>
        </w:rPr>
        <w:t>内设备拆卸、包装、运输</w:t>
      </w:r>
      <w:r>
        <w:rPr>
          <w:rFonts w:hint="eastAsia" w:ascii="仿宋_GB2312" w:hAnsi="仿宋_GB2312" w:eastAsia="仿宋_GB2312" w:cs="仿宋_GB2312"/>
          <w:color w:val="auto"/>
          <w:sz w:val="24"/>
          <w:szCs w:val="24"/>
          <w:highlight w:val="none"/>
          <w:lang w:eastAsia="zh-CN"/>
        </w:rPr>
        <w:t>、新桥校区实训室</w:t>
      </w:r>
      <w:r>
        <w:rPr>
          <w:rFonts w:hint="eastAsia" w:ascii="仿宋_GB2312" w:hAnsi="仿宋_GB2312" w:eastAsia="仿宋_GB2312" w:cs="仿宋_GB2312"/>
          <w:color w:val="auto"/>
          <w:sz w:val="24"/>
          <w:szCs w:val="24"/>
          <w:highlight w:val="none"/>
        </w:rPr>
        <w:t>强弱电</w:t>
      </w:r>
      <w:r>
        <w:rPr>
          <w:rFonts w:hint="eastAsia" w:ascii="仿宋_GB2312" w:hAnsi="仿宋_GB2312" w:eastAsia="仿宋_GB2312" w:cs="仿宋_GB2312"/>
          <w:color w:val="auto"/>
          <w:sz w:val="24"/>
          <w:szCs w:val="24"/>
          <w:highlight w:val="none"/>
          <w:lang w:eastAsia="zh-CN"/>
        </w:rPr>
        <w:t>接线以及搬迁设备在新桥校区实训室的</w:t>
      </w:r>
      <w:r>
        <w:rPr>
          <w:rFonts w:hint="eastAsia" w:ascii="仿宋_GB2312" w:hAnsi="仿宋_GB2312" w:eastAsia="仿宋_GB2312" w:cs="仿宋_GB2312"/>
          <w:color w:val="auto"/>
          <w:sz w:val="24"/>
          <w:szCs w:val="24"/>
          <w:highlight w:val="none"/>
        </w:rPr>
        <w:t>安装、调试</w:t>
      </w:r>
      <w:r>
        <w:rPr>
          <w:rFonts w:hint="eastAsia" w:ascii="仿宋_GB2312" w:hAnsi="仿宋_GB2312" w:eastAsia="仿宋_GB2312" w:cs="仿宋_GB2312"/>
          <w:color w:val="auto"/>
          <w:sz w:val="24"/>
          <w:szCs w:val="24"/>
          <w:highlight w:val="none"/>
          <w:lang w:eastAsia="zh-CN"/>
        </w:rPr>
        <w:t>和</w:t>
      </w:r>
      <w:r>
        <w:rPr>
          <w:rFonts w:hint="eastAsia" w:ascii="仿宋_GB2312" w:hAnsi="仿宋_GB2312" w:eastAsia="仿宋_GB2312" w:cs="仿宋_GB2312"/>
          <w:color w:val="auto"/>
          <w:sz w:val="24"/>
          <w:szCs w:val="24"/>
          <w:highlight w:val="none"/>
        </w:rPr>
        <w:t>设备</w:t>
      </w:r>
      <w:r>
        <w:rPr>
          <w:rFonts w:hint="eastAsia" w:ascii="仿宋_GB2312" w:hAnsi="仿宋_GB2312" w:eastAsia="仿宋_GB2312" w:cs="仿宋_GB2312"/>
          <w:color w:val="auto"/>
          <w:sz w:val="24"/>
          <w:szCs w:val="24"/>
          <w:highlight w:val="none"/>
          <w:lang w:eastAsia="zh-CN"/>
        </w:rPr>
        <w:t>正常</w:t>
      </w:r>
      <w:r>
        <w:rPr>
          <w:rFonts w:hint="eastAsia" w:ascii="仿宋_GB2312" w:hAnsi="仿宋_GB2312" w:eastAsia="仿宋_GB2312" w:cs="仿宋_GB2312"/>
          <w:color w:val="auto"/>
          <w:sz w:val="24"/>
          <w:szCs w:val="24"/>
          <w:highlight w:val="none"/>
        </w:rPr>
        <w:t>运行。要求将设备搬</w:t>
      </w:r>
      <w:r>
        <w:rPr>
          <w:rFonts w:hint="eastAsia" w:ascii="仿宋_GB2312" w:hAnsi="仿宋_GB2312" w:eastAsia="仿宋_GB2312" w:cs="仿宋_GB2312"/>
          <w:color w:val="auto"/>
          <w:sz w:val="24"/>
          <w:szCs w:val="24"/>
          <w:highlight w:val="none"/>
          <w:lang w:eastAsia="zh-CN"/>
        </w:rPr>
        <w:t>运</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z w:val="24"/>
          <w:szCs w:val="24"/>
          <w:highlight w:val="none"/>
          <w:lang w:eastAsia="zh-CN"/>
        </w:rPr>
        <w:t>新桥校区指定实训室</w:t>
      </w:r>
      <w:r>
        <w:rPr>
          <w:rFonts w:hint="eastAsia" w:ascii="仿宋_GB2312" w:hAnsi="仿宋_GB2312" w:eastAsia="仿宋_GB2312" w:cs="仿宋_GB2312"/>
          <w:color w:val="auto"/>
          <w:sz w:val="24"/>
          <w:szCs w:val="24"/>
          <w:highlight w:val="none"/>
        </w:rPr>
        <w:t>内，搬迁</w:t>
      </w:r>
      <w:r>
        <w:rPr>
          <w:rFonts w:hint="eastAsia" w:ascii="仿宋_GB2312" w:hAnsi="仿宋_GB2312" w:eastAsia="仿宋_GB2312" w:cs="仿宋_GB2312"/>
          <w:color w:val="auto"/>
          <w:sz w:val="24"/>
          <w:szCs w:val="24"/>
          <w:highlight w:val="none"/>
          <w:lang w:eastAsia="zh-CN"/>
        </w:rPr>
        <w:t>运输</w:t>
      </w:r>
      <w:r>
        <w:rPr>
          <w:rFonts w:hint="eastAsia" w:ascii="仿宋_GB2312" w:hAnsi="仿宋_GB2312" w:eastAsia="仿宋_GB2312" w:cs="仿宋_GB2312"/>
          <w:color w:val="auto"/>
          <w:sz w:val="24"/>
          <w:szCs w:val="24"/>
          <w:highlight w:val="none"/>
        </w:rPr>
        <w:t>过程中</w:t>
      </w:r>
      <w:r>
        <w:rPr>
          <w:rFonts w:hint="eastAsia" w:ascii="仿宋_GB2312" w:hAnsi="仿宋_GB2312" w:eastAsia="仿宋_GB2312" w:cs="仿宋_GB2312"/>
          <w:color w:val="auto"/>
          <w:sz w:val="24"/>
          <w:szCs w:val="24"/>
          <w:highlight w:val="none"/>
          <w:lang w:eastAsia="zh-CN"/>
        </w:rPr>
        <w:t>确保</w:t>
      </w:r>
      <w:r>
        <w:rPr>
          <w:rFonts w:hint="eastAsia" w:ascii="仿宋_GB2312" w:hAnsi="仿宋_GB2312" w:eastAsia="仿宋_GB2312" w:cs="仿宋_GB2312"/>
          <w:color w:val="auto"/>
          <w:sz w:val="24"/>
          <w:szCs w:val="24"/>
          <w:highlight w:val="none"/>
        </w:rPr>
        <w:t>设备</w:t>
      </w:r>
      <w:r>
        <w:rPr>
          <w:rFonts w:hint="eastAsia" w:ascii="仿宋_GB2312" w:hAnsi="仿宋_GB2312" w:eastAsia="仿宋_GB2312" w:cs="仿宋_GB2312"/>
          <w:color w:val="auto"/>
          <w:sz w:val="24"/>
          <w:szCs w:val="24"/>
          <w:highlight w:val="none"/>
          <w:lang w:eastAsia="zh-CN"/>
        </w:rPr>
        <w:t>的安全和</w:t>
      </w:r>
      <w:r>
        <w:rPr>
          <w:rFonts w:hint="eastAsia" w:ascii="仿宋_GB2312" w:hAnsi="仿宋_GB2312" w:eastAsia="仿宋_GB2312" w:cs="仿宋_GB2312"/>
          <w:color w:val="auto"/>
          <w:sz w:val="24"/>
          <w:szCs w:val="24"/>
          <w:highlight w:val="none"/>
        </w:rPr>
        <w:t>无损坏，搬迁</w:t>
      </w:r>
      <w:r>
        <w:rPr>
          <w:rFonts w:hint="eastAsia" w:ascii="仿宋_GB2312" w:hAnsi="仿宋_GB2312" w:eastAsia="仿宋_GB2312" w:cs="仿宋_GB2312"/>
          <w:color w:val="auto"/>
          <w:sz w:val="24"/>
          <w:szCs w:val="24"/>
          <w:highlight w:val="none"/>
          <w:lang w:eastAsia="zh-CN"/>
        </w:rPr>
        <w:t>到位</w:t>
      </w:r>
      <w:r>
        <w:rPr>
          <w:rFonts w:hint="eastAsia" w:ascii="仿宋_GB2312" w:hAnsi="仿宋_GB2312" w:eastAsia="仿宋_GB2312" w:cs="仿宋_GB2312"/>
          <w:color w:val="auto"/>
          <w:sz w:val="24"/>
          <w:szCs w:val="24"/>
          <w:highlight w:val="none"/>
        </w:rPr>
        <w:t>后的实训室恢复原有功能，能正常开展实训授课。</w:t>
      </w:r>
    </w:p>
    <w:p>
      <w:pPr>
        <w:spacing w:line="360" w:lineRule="auto"/>
        <w:ind w:firstLine="480" w:firstLineChars="200"/>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具体要求如下：</w:t>
      </w:r>
    </w:p>
    <w:p>
      <w:pPr>
        <w:spacing w:line="360" w:lineRule="auto"/>
        <w:ind w:firstLine="435"/>
        <w:rPr>
          <w:rFonts w:ascii="宋体" w:hAnsi="宋体" w:cs="宋体"/>
          <w:color w:val="auto"/>
          <w:sz w:val="24"/>
          <w:highlight w:val="none"/>
        </w:rPr>
      </w:pPr>
      <w:r>
        <w:rPr>
          <w:rFonts w:hint="eastAsia" w:ascii="仿宋_GB2312" w:hAnsi="仿宋_GB2312" w:eastAsia="仿宋_GB2312" w:cs="仿宋_GB2312"/>
          <w:color w:val="auto"/>
          <w:sz w:val="24"/>
          <w:szCs w:val="24"/>
          <w:highlight w:val="none"/>
        </w:rPr>
        <w:t>1、制定方案：搬迁服务供应商应提供详细的拆卸、搬迁及安装调试方案，制定搬迁步骤及注意事项，针对搬迁中的重点难点问题制定应急措施以及安全保障措施，</w:t>
      </w:r>
      <w:r>
        <w:rPr>
          <w:rFonts w:hint="eastAsia" w:ascii="宋体" w:hAnsi="宋体" w:cs="宋体"/>
          <w:color w:val="auto"/>
          <w:sz w:val="24"/>
          <w:highlight w:val="none"/>
        </w:rPr>
        <w:t>按照平面图组织小组成员到新址进行实际场地考察,对各</w:t>
      </w:r>
      <w:r>
        <w:rPr>
          <w:rFonts w:hint="eastAsia" w:ascii="宋体" w:hAnsi="宋体" w:cs="宋体"/>
          <w:color w:val="auto"/>
          <w:sz w:val="24"/>
          <w:highlight w:val="none"/>
          <w:lang w:eastAsia="zh-CN"/>
        </w:rPr>
        <w:t>实训</w:t>
      </w:r>
      <w:r>
        <w:rPr>
          <w:rFonts w:hint="eastAsia" w:ascii="宋体" w:hAnsi="宋体" w:cs="宋体"/>
          <w:color w:val="auto"/>
          <w:sz w:val="24"/>
          <w:highlight w:val="none"/>
        </w:rPr>
        <w:t>室新址进行迁入前实验室环境查检查情况并且进行确认用，单位有相关图纸则严格按照用户单位要求进行安装，所有方案经采购人同意后方可进场实施。</w:t>
      </w:r>
    </w:p>
    <w:p>
      <w:pPr>
        <w:spacing w:line="360" w:lineRule="auto"/>
        <w:ind w:firstLine="435"/>
        <w:rPr>
          <w:rFonts w:ascii="宋体" w:hAnsi="宋体" w:cs="宋体"/>
          <w:color w:val="auto"/>
          <w:sz w:val="24"/>
          <w:highlight w:val="none"/>
        </w:rPr>
      </w:pPr>
      <w:r>
        <w:rPr>
          <w:rFonts w:hint="eastAsia" w:ascii="仿宋_GB2312" w:hAnsi="仿宋_GB2312" w:eastAsia="仿宋_GB2312" w:cs="仿宋_GB2312"/>
          <w:color w:val="auto"/>
          <w:sz w:val="24"/>
          <w:szCs w:val="24"/>
          <w:highlight w:val="none"/>
        </w:rPr>
        <w:t>2、</w:t>
      </w:r>
      <w:r>
        <w:rPr>
          <w:rFonts w:hint="eastAsia" w:ascii="宋体" w:hAnsi="宋体" w:cs="宋体"/>
          <w:color w:val="auto"/>
          <w:sz w:val="24"/>
          <w:highlight w:val="none"/>
        </w:rPr>
        <w:t>清点核对：需搬迁的资产，在搬迁前后应仔细核对帐物，防止遗漏、丢失，由采购人负责监督，</w:t>
      </w:r>
      <w:r>
        <w:rPr>
          <w:rFonts w:hint="eastAsia" w:ascii="宋体" w:hAnsi="宋体" w:cs="宋体"/>
          <w:color w:val="auto"/>
          <w:sz w:val="24"/>
          <w:highlight w:val="none"/>
          <w:lang w:eastAsia="zh-CN"/>
        </w:rPr>
        <w:t>搬迁前中标单位</w:t>
      </w:r>
      <w:r>
        <w:rPr>
          <w:rFonts w:hint="eastAsia" w:ascii="宋体" w:hAnsi="宋体" w:cs="宋体"/>
          <w:color w:val="auto"/>
          <w:sz w:val="24"/>
          <w:highlight w:val="none"/>
        </w:rPr>
        <w:t>清点资产</w:t>
      </w:r>
      <w:r>
        <w:rPr>
          <w:rFonts w:hint="eastAsia" w:ascii="宋体" w:hAnsi="宋体" w:cs="宋体"/>
          <w:color w:val="auto"/>
          <w:sz w:val="24"/>
          <w:highlight w:val="none"/>
          <w:lang w:eastAsia="zh-CN"/>
        </w:rPr>
        <w:t>后</w:t>
      </w:r>
      <w:r>
        <w:rPr>
          <w:rFonts w:hint="eastAsia" w:ascii="宋体" w:hAnsi="宋体" w:cs="宋体"/>
          <w:color w:val="auto"/>
          <w:sz w:val="24"/>
          <w:highlight w:val="none"/>
        </w:rPr>
        <w:t>签字认可接受搬迁的资产。搬迁前应做好各方面准备，所有需搬迁设备登记备案，并在设备上做好相应标记。其中还包括仪器设备的检查：</w:t>
      </w:r>
    </w:p>
    <w:p>
      <w:pPr>
        <w:spacing w:line="360" w:lineRule="auto"/>
        <w:ind w:firstLine="435"/>
        <w:rPr>
          <w:rFonts w:ascii="宋体" w:hAnsi="宋体" w:cs="宋体"/>
          <w:color w:val="auto"/>
          <w:sz w:val="24"/>
          <w:highlight w:val="none"/>
        </w:rPr>
      </w:pPr>
      <w:r>
        <w:rPr>
          <w:rFonts w:hint="eastAsia" w:ascii="宋体" w:hAnsi="宋体" w:cs="宋体"/>
          <w:color w:val="auto"/>
          <w:sz w:val="24"/>
          <w:highlight w:val="none"/>
        </w:rPr>
        <w:t xml:space="preserve">①检验仪器设备的外观; </w:t>
      </w:r>
    </w:p>
    <w:p>
      <w:pPr>
        <w:spacing w:line="360" w:lineRule="auto"/>
        <w:ind w:firstLine="435"/>
        <w:rPr>
          <w:rFonts w:ascii="宋体" w:hAnsi="宋体" w:cs="宋体"/>
          <w:color w:val="auto"/>
          <w:sz w:val="24"/>
          <w:highlight w:val="none"/>
        </w:rPr>
      </w:pPr>
      <w:r>
        <w:rPr>
          <w:rFonts w:hint="eastAsia" w:ascii="宋体" w:hAnsi="宋体" w:cs="宋体"/>
          <w:color w:val="auto"/>
          <w:sz w:val="24"/>
          <w:highlight w:val="none"/>
        </w:rPr>
        <w:t>②确认仪器设备的技术参数、现行工作状态;</w:t>
      </w:r>
    </w:p>
    <w:p>
      <w:pPr>
        <w:spacing w:line="360" w:lineRule="auto"/>
        <w:ind w:firstLine="435"/>
        <w:rPr>
          <w:rFonts w:ascii="宋体" w:hAnsi="宋体" w:cs="宋体"/>
          <w:color w:val="auto"/>
          <w:sz w:val="24"/>
          <w:highlight w:val="none"/>
        </w:rPr>
      </w:pPr>
      <w:r>
        <w:rPr>
          <w:rFonts w:hint="eastAsia" w:ascii="宋体" w:hAnsi="宋体" w:cs="宋体"/>
          <w:color w:val="auto"/>
          <w:sz w:val="24"/>
          <w:highlight w:val="none"/>
        </w:rPr>
        <w:t>③检查仪器设备是否符合安全拆卸、搬运条件;</w:t>
      </w:r>
    </w:p>
    <w:p>
      <w:pPr>
        <w:spacing w:line="360" w:lineRule="auto"/>
        <w:ind w:firstLine="435"/>
        <w:rPr>
          <w:rFonts w:ascii="宋体" w:hAnsi="宋体" w:cs="宋体"/>
          <w:color w:val="auto"/>
          <w:sz w:val="24"/>
          <w:highlight w:val="none"/>
        </w:rPr>
      </w:pPr>
      <w:r>
        <w:rPr>
          <w:rFonts w:hint="eastAsia" w:ascii="宋体" w:hAnsi="宋体" w:cs="宋体"/>
          <w:color w:val="auto"/>
          <w:sz w:val="24"/>
          <w:highlight w:val="none"/>
        </w:rPr>
        <w:t>④检查仪器设备有无安装附件;</w:t>
      </w:r>
    </w:p>
    <w:p>
      <w:pPr>
        <w:spacing w:line="360" w:lineRule="auto"/>
        <w:ind w:firstLine="435"/>
        <w:rPr>
          <w:rFonts w:hint="eastAsia" w:ascii="宋体" w:hAnsi="宋体" w:cs="宋体"/>
          <w:color w:val="auto"/>
          <w:sz w:val="24"/>
          <w:highlight w:val="none"/>
        </w:rPr>
      </w:pPr>
      <w:r>
        <w:rPr>
          <w:rFonts w:hint="eastAsia" w:ascii="宋体" w:hAnsi="宋体" w:cs="宋体"/>
          <w:color w:val="auto"/>
          <w:sz w:val="24"/>
          <w:highlight w:val="none"/>
        </w:rPr>
        <w:t>⑤对结构复杂、专用仪器设备以及外观有破损的仪器设备进行拍照确认。具体搬迁的物品及数量见搬迁物品明细表。</w:t>
      </w:r>
    </w:p>
    <w:p>
      <w:pPr>
        <w:spacing w:line="360" w:lineRule="auto"/>
        <w:ind w:firstLine="435"/>
        <w:rPr>
          <w:rFonts w:ascii="宋体" w:hAnsi="宋体" w:cs="宋体"/>
          <w:color w:val="auto"/>
          <w:sz w:val="24"/>
          <w:highlight w:val="none"/>
        </w:rPr>
      </w:pPr>
      <w:r>
        <w:rPr>
          <w:rFonts w:hint="eastAsia" w:ascii="仿宋_GB2312" w:hAnsi="仿宋_GB2312" w:eastAsia="仿宋_GB2312" w:cs="仿宋_GB2312"/>
          <w:color w:val="auto"/>
          <w:sz w:val="24"/>
          <w:szCs w:val="24"/>
          <w:highlight w:val="none"/>
        </w:rPr>
        <w:t>3、设备拆</w:t>
      </w:r>
      <w:r>
        <w:rPr>
          <w:rFonts w:hint="eastAsia" w:ascii="仿宋_GB2312" w:hAnsi="仿宋_GB2312" w:eastAsia="仿宋_GB2312" w:cs="仿宋_GB2312"/>
          <w:color w:val="auto"/>
          <w:sz w:val="24"/>
          <w:szCs w:val="24"/>
          <w:highlight w:val="none"/>
          <w:lang w:eastAsia="zh-CN"/>
        </w:rPr>
        <w:t>卸</w:t>
      </w:r>
      <w:r>
        <w:rPr>
          <w:rFonts w:hint="eastAsia" w:ascii="仿宋_GB2312" w:hAnsi="仿宋_GB2312" w:eastAsia="仿宋_GB2312" w:cs="仿宋_GB2312"/>
          <w:color w:val="auto"/>
          <w:sz w:val="24"/>
          <w:szCs w:val="24"/>
          <w:highlight w:val="none"/>
        </w:rPr>
        <w:t>：</w:t>
      </w:r>
      <w:r>
        <w:rPr>
          <w:rFonts w:hint="eastAsia" w:ascii="宋体" w:hAnsi="宋体" w:cs="宋体"/>
          <w:color w:val="auto"/>
          <w:sz w:val="24"/>
          <w:highlight w:val="none"/>
        </w:rPr>
        <w:t>根据采购人要求，按时将需搬迁的所有设备，按照规定拆除，同时做好相应标记，分类放置。专业性、技术性强的设备拆装需要设备厂家技术人员现场指导，由成交供应商负责联系落实，并承担厂家技术人员的一切费用。所有参加施工人员均应熟悉现场安全操作区域、了解搬迁流程做到安全施工、保证仪器设备安全拆卸,封包搬运。</w:t>
      </w:r>
    </w:p>
    <w:p>
      <w:pPr>
        <w:spacing w:line="360" w:lineRule="auto"/>
        <w:ind w:firstLine="435"/>
        <w:rPr>
          <w:rFonts w:ascii="宋体" w:hAnsi="宋体" w:cs="宋体"/>
          <w:color w:val="auto"/>
          <w:sz w:val="24"/>
          <w:highlight w:val="none"/>
        </w:rPr>
      </w:pPr>
      <w:r>
        <w:rPr>
          <w:rFonts w:hint="eastAsia" w:ascii="仿宋_GB2312" w:hAnsi="仿宋_GB2312" w:eastAsia="仿宋_GB2312" w:cs="仿宋_GB2312"/>
          <w:color w:val="auto"/>
          <w:sz w:val="24"/>
          <w:szCs w:val="24"/>
          <w:highlight w:val="none"/>
        </w:rPr>
        <w:t>4、</w:t>
      </w:r>
      <w:r>
        <w:rPr>
          <w:rFonts w:hint="eastAsia" w:ascii="仿宋_GB2312" w:hAnsi="仿宋_GB2312" w:eastAsia="仿宋_GB2312" w:cs="仿宋_GB2312"/>
          <w:color w:val="auto"/>
          <w:sz w:val="24"/>
          <w:szCs w:val="24"/>
          <w:highlight w:val="none"/>
          <w:lang w:eastAsia="zh-CN"/>
        </w:rPr>
        <w:t>打包：</w:t>
      </w:r>
      <w:r>
        <w:rPr>
          <w:rFonts w:hint="eastAsia" w:ascii="宋体" w:hAnsi="宋体" w:cs="宋体"/>
          <w:color w:val="auto"/>
          <w:sz w:val="24"/>
          <w:highlight w:val="none"/>
        </w:rPr>
        <w:t>需要成交</w:t>
      </w:r>
      <w:r>
        <w:rPr>
          <w:rFonts w:hint="eastAsia" w:ascii="宋体" w:hAnsi="宋体" w:cs="宋体"/>
          <w:color w:val="auto"/>
          <w:sz w:val="24"/>
          <w:highlight w:val="none"/>
          <w:lang w:eastAsia="zh-CN"/>
        </w:rPr>
        <w:t>中标单位</w:t>
      </w:r>
      <w:r>
        <w:rPr>
          <w:rFonts w:hint="eastAsia" w:ascii="宋体" w:hAnsi="宋体" w:cs="宋体"/>
          <w:color w:val="auto"/>
          <w:sz w:val="24"/>
          <w:highlight w:val="none"/>
        </w:rPr>
        <w:t>自备包装相关材料，以实训室或系统为单位，由采购人相关实训室负责人负责监督，</w:t>
      </w:r>
      <w:r>
        <w:rPr>
          <w:rFonts w:hint="eastAsia" w:ascii="宋体" w:hAnsi="宋体" w:cs="宋体"/>
          <w:color w:val="auto"/>
          <w:sz w:val="24"/>
          <w:highlight w:val="none"/>
          <w:lang w:eastAsia="zh-CN"/>
        </w:rPr>
        <w:t>中标单位</w:t>
      </w:r>
      <w:r>
        <w:rPr>
          <w:rFonts w:hint="eastAsia" w:ascii="宋体" w:hAnsi="宋体" w:cs="宋体"/>
          <w:color w:val="auto"/>
          <w:sz w:val="24"/>
          <w:highlight w:val="none"/>
        </w:rPr>
        <w:t>进行打包并在每个包装盒外贴资产标签，清点资产进行登记。各种标识和定位标记，必须标识清晰,粘贴必须牢靠,以免因</w:t>
      </w:r>
      <w:r>
        <w:rPr>
          <w:rFonts w:hint="eastAsia" w:ascii="宋体" w:hAnsi="宋体" w:cs="宋体"/>
          <w:color w:val="auto"/>
          <w:sz w:val="24"/>
          <w:highlight w:val="none"/>
          <w:lang w:eastAsia="zh-CN"/>
        </w:rPr>
        <w:t>搬运、装卸和</w:t>
      </w:r>
      <w:r>
        <w:rPr>
          <w:rFonts w:hint="eastAsia" w:ascii="宋体" w:hAnsi="宋体" w:cs="宋体"/>
          <w:color w:val="auto"/>
          <w:sz w:val="24"/>
          <w:highlight w:val="none"/>
        </w:rPr>
        <w:t>运输等原因</w:t>
      </w:r>
      <w:r>
        <w:rPr>
          <w:rFonts w:hint="eastAsia" w:ascii="宋体" w:hAnsi="宋体" w:cs="宋体"/>
          <w:color w:val="auto"/>
          <w:sz w:val="24"/>
          <w:highlight w:val="none"/>
          <w:lang w:eastAsia="zh-CN"/>
        </w:rPr>
        <w:t>造成</w:t>
      </w:r>
      <w:r>
        <w:rPr>
          <w:rFonts w:hint="eastAsia" w:ascii="宋体" w:hAnsi="宋体" w:cs="宋体"/>
          <w:color w:val="auto"/>
          <w:sz w:val="24"/>
          <w:highlight w:val="none"/>
        </w:rPr>
        <w:t>损坏和模糊,影响安装。</w:t>
      </w:r>
    </w:p>
    <w:p>
      <w:pPr>
        <w:spacing w:line="360" w:lineRule="auto"/>
        <w:ind w:firstLine="435"/>
        <w:rPr>
          <w:color w:val="auto"/>
          <w:highlight w:val="none"/>
        </w:rPr>
      </w:pPr>
      <w:r>
        <w:rPr>
          <w:rFonts w:hint="eastAsia" w:ascii="仿宋_GB2312" w:hAnsi="仿宋_GB2312" w:eastAsia="仿宋_GB2312" w:cs="仿宋_GB2312"/>
          <w:color w:val="auto"/>
          <w:sz w:val="24"/>
          <w:szCs w:val="24"/>
          <w:highlight w:val="none"/>
        </w:rPr>
        <w:t>5、</w:t>
      </w:r>
      <w:r>
        <w:rPr>
          <w:rFonts w:hint="eastAsia" w:ascii="仿宋_GB2312" w:hAnsi="仿宋_GB2312" w:eastAsia="仿宋_GB2312" w:cs="仿宋_GB2312"/>
          <w:color w:val="auto"/>
          <w:sz w:val="24"/>
          <w:szCs w:val="24"/>
          <w:highlight w:val="none"/>
          <w:lang w:eastAsia="zh-CN"/>
        </w:rPr>
        <w:t>运输</w:t>
      </w:r>
      <w:r>
        <w:rPr>
          <w:rFonts w:hint="eastAsia" w:ascii="仿宋_GB2312" w:hAnsi="仿宋_GB2312" w:eastAsia="仿宋_GB2312" w:cs="仿宋_GB2312"/>
          <w:color w:val="auto"/>
          <w:sz w:val="24"/>
          <w:szCs w:val="24"/>
          <w:highlight w:val="none"/>
        </w:rPr>
        <w:t>：</w:t>
      </w:r>
      <w:r>
        <w:rPr>
          <w:rFonts w:hint="eastAsia" w:ascii="宋体" w:hAnsi="宋体" w:cs="宋体"/>
          <w:color w:val="auto"/>
          <w:sz w:val="24"/>
          <w:highlight w:val="none"/>
        </w:rPr>
        <w:t>搬运分物品搬运上车阶段、运输阶段、卸货搬运至指定空间（指定实训室或教室空间内）阶段，该过程由成交供应商负责。在运输过程中全程跟人[装车、卸车、摆放</w:t>
      </w:r>
      <w:r>
        <w:rPr>
          <w:rFonts w:ascii="宋体" w:hAnsi="宋体" w:cs="宋体"/>
          <w:color w:val="auto"/>
          <w:sz w:val="24"/>
          <w:highlight w:val="none"/>
        </w:rPr>
        <w:t>]</w:t>
      </w:r>
      <w:r>
        <w:rPr>
          <w:rFonts w:hint="eastAsia" w:ascii="宋体" w:hAnsi="宋体" w:cs="宋体"/>
          <w:color w:val="auto"/>
          <w:sz w:val="24"/>
          <w:highlight w:val="none"/>
        </w:rPr>
        <w:t>整个过程不离人,保证物品无损、无遗失;在搬迁运输过程中,对重要、易损的部位、物件做好防护。大型设备与</w:t>
      </w:r>
      <w:r>
        <w:rPr>
          <w:rFonts w:hint="eastAsia" w:ascii="宋体" w:hAnsi="宋体" w:cs="宋体"/>
          <w:color w:val="auto"/>
          <w:sz w:val="24"/>
          <w:highlight w:val="none"/>
          <w:lang w:eastAsia="zh-CN"/>
        </w:rPr>
        <w:t>救生艇装置</w:t>
      </w:r>
      <w:r>
        <w:rPr>
          <w:rFonts w:hint="eastAsia" w:ascii="宋体" w:hAnsi="宋体" w:cs="宋体"/>
          <w:color w:val="auto"/>
          <w:sz w:val="24"/>
          <w:highlight w:val="none"/>
        </w:rPr>
        <w:t>，应选择专用货车运输，防止运输过程中造成损伤（如有损坏按价赔偿）。</w:t>
      </w:r>
    </w:p>
    <w:p>
      <w:pPr>
        <w:spacing w:line="360" w:lineRule="auto"/>
        <w:ind w:firstLine="435"/>
        <w:rPr>
          <w:rFonts w:ascii="宋体" w:hAnsi="宋体" w:cs="宋体"/>
          <w:color w:val="auto"/>
          <w:sz w:val="24"/>
          <w:highlight w:val="none"/>
        </w:rPr>
      </w:pPr>
      <w:r>
        <w:rPr>
          <w:rFonts w:hint="eastAsia" w:ascii="仿宋_GB2312" w:hAnsi="仿宋_GB2312" w:eastAsia="仿宋_GB2312" w:cs="仿宋_GB2312"/>
          <w:color w:val="auto"/>
          <w:sz w:val="24"/>
          <w:szCs w:val="24"/>
          <w:highlight w:val="none"/>
        </w:rPr>
        <w:t>6、拆箱：</w:t>
      </w:r>
      <w:r>
        <w:rPr>
          <w:rFonts w:hint="eastAsia" w:ascii="宋体" w:hAnsi="宋体" w:cs="宋体"/>
          <w:color w:val="auto"/>
          <w:sz w:val="24"/>
          <w:highlight w:val="none"/>
        </w:rPr>
        <w:t>搬迁服务</w:t>
      </w:r>
      <w:r>
        <w:rPr>
          <w:rFonts w:hint="eastAsia" w:ascii="宋体" w:hAnsi="宋体" w:cs="宋体"/>
          <w:color w:val="auto"/>
          <w:sz w:val="24"/>
          <w:highlight w:val="none"/>
          <w:lang w:eastAsia="zh-CN"/>
        </w:rPr>
        <w:t>中标单位</w:t>
      </w:r>
      <w:r>
        <w:rPr>
          <w:rFonts w:hint="eastAsia" w:ascii="宋体" w:hAnsi="宋体" w:cs="宋体"/>
          <w:color w:val="auto"/>
          <w:sz w:val="24"/>
          <w:highlight w:val="none"/>
        </w:rPr>
        <w:t>搬迁至采购人指定地点（实训室、教室或办公室）安全运送到位，并由该区域负责人监督拆卸过程，并检查搬迁物品是否完好。拆卸仪器设备时,必须先熟悉相关图纸及设备,禁止盲目操作且须注意不得损坏设备及设施。</w:t>
      </w:r>
      <w:r>
        <w:rPr>
          <w:rFonts w:hint="eastAsia" w:ascii="宋体" w:hAnsi="宋体" w:cs="宋体"/>
          <w:color w:val="auto"/>
          <w:sz w:val="24"/>
          <w:highlight w:val="none"/>
          <w:lang w:eastAsia="zh-CN"/>
        </w:rPr>
        <w:t>中标方</w:t>
      </w:r>
      <w:r>
        <w:rPr>
          <w:rFonts w:hint="eastAsia" w:ascii="宋体" w:hAnsi="宋体" w:cs="宋体"/>
          <w:color w:val="auto"/>
          <w:sz w:val="24"/>
          <w:highlight w:val="none"/>
        </w:rPr>
        <w:t>现场应配备专职安检员，及时检查和清除不安全因素：做到文明施工，及时清理现场和废物。</w:t>
      </w:r>
    </w:p>
    <w:p>
      <w:pPr>
        <w:spacing w:line="360" w:lineRule="auto"/>
        <w:ind w:firstLine="480" w:firstLineChars="200"/>
        <w:jc w:val="left"/>
        <w:rPr>
          <w:rFonts w:ascii="仿宋_GB2312" w:hAnsi="仿宋_GB2312" w:eastAsia="仿宋_GB2312" w:cs="仿宋_GB2312"/>
          <w:color w:val="auto"/>
          <w:sz w:val="24"/>
          <w:szCs w:val="24"/>
          <w:highlight w:val="none"/>
        </w:rPr>
      </w:pPr>
      <w:r>
        <w:rPr>
          <w:rFonts w:hint="eastAsia" w:ascii="宋体" w:hAnsi="宋体" w:cs="宋体"/>
          <w:color w:val="auto"/>
          <w:sz w:val="24"/>
          <w:highlight w:val="none"/>
        </w:rPr>
        <w:t>7</w:t>
      </w:r>
      <w:r>
        <w:rPr>
          <w:rFonts w:hint="eastAsia" w:ascii="宋体" w:hAnsi="宋体" w:cs="宋体"/>
          <w:color w:val="auto"/>
          <w:sz w:val="24"/>
          <w:highlight w:val="none"/>
          <w:lang w:eastAsia="zh-CN"/>
        </w:rPr>
        <w:t>、</w:t>
      </w:r>
      <w:r>
        <w:rPr>
          <w:rFonts w:ascii="宋体" w:hAnsi="宋体" w:cs="宋体"/>
          <w:color w:val="auto"/>
          <w:sz w:val="24"/>
          <w:highlight w:val="none"/>
        </w:rPr>
        <w:t>超</w:t>
      </w:r>
      <w:r>
        <w:rPr>
          <w:rFonts w:hint="eastAsia" w:ascii="宋体" w:hAnsi="宋体" w:cs="宋体"/>
          <w:color w:val="auto"/>
          <w:sz w:val="24"/>
          <w:highlight w:val="none"/>
          <w:lang w:eastAsia="zh-CN"/>
        </w:rPr>
        <w:t>长超</w:t>
      </w:r>
      <w:r>
        <w:rPr>
          <w:rFonts w:ascii="宋体" w:hAnsi="宋体" w:cs="宋体"/>
          <w:color w:val="auto"/>
          <w:sz w:val="24"/>
          <w:highlight w:val="none"/>
        </w:rPr>
        <w:t>重物品</w:t>
      </w:r>
      <w:r>
        <w:rPr>
          <w:rFonts w:hint="eastAsia" w:ascii="宋体" w:hAnsi="宋体" w:cs="宋体"/>
          <w:color w:val="auto"/>
          <w:sz w:val="24"/>
          <w:highlight w:val="none"/>
          <w:lang w:eastAsia="zh-CN"/>
        </w:rPr>
        <w:t>：</w:t>
      </w:r>
      <w:r>
        <w:rPr>
          <w:rFonts w:ascii="宋体" w:hAnsi="宋体" w:cs="宋体"/>
          <w:color w:val="auto"/>
          <w:sz w:val="24"/>
          <w:highlight w:val="none"/>
        </w:rPr>
        <w:t>要合理安排运输卡车的空间,搬迁完成后,留下专人,负责检查，实验室是否有应搬而未搬的物品、淘汰桌、柜中是否清空等,打扫好原实验室卫生,关好门窗、水电。</w:t>
      </w:r>
    </w:p>
    <w:p>
      <w:pPr>
        <w:spacing w:line="360" w:lineRule="auto"/>
        <w:ind w:firstLine="240" w:firstLineChars="100"/>
        <w:rPr>
          <w:rFonts w:ascii="宋体" w:hAnsi="宋体" w:cs="宋体"/>
          <w:color w:val="auto"/>
          <w:sz w:val="24"/>
          <w:highlight w:val="none"/>
        </w:rPr>
      </w:pP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w:t>
      </w:r>
      <w:r>
        <w:rPr>
          <w:rFonts w:hint="eastAsia" w:ascii="宋体" w:hAnsi="宋体" w:cs="宋体"/>
          <w:color w:val="auto"/>
          <w:sz w:val="24"/>
          <w:highlight w:val="none"/>
        </w:rPr>
        <w:t>搬迁过程</w:t>
      </w:r>
      <w:r>
        <w:rPr>
          <w:rFonts w:hint="eastAsia" w:ascii="宋体" w:hAnsi="宋体" w:cs="宋体"/>
          <w:color w:val="auto"/>
          <w:sz w:val="24"/>
          <w:highlight w:val="none"/>
          <w:lang w:eastAsia="zh-CN"/>
        </w:rPr>
        <w:t>：</w:t>
      </w:r>
      <w:r>
        <w:rPr>
          <w:rFonts w:hint="eastAsia" w:ascii="宋体" w:hAnsi="宋体" w:cs="宋体"/>
          <w:color w:val="auto"/>
          <w:sz w:val="24"/>
          <w:highlight w:val="none"/>
        </w:rPr>
        <w:t>应爱护迁出和迁入房舍的环境及基础设施，避免磕碰损坏，组织做好所搬迁的仪器设备、物品等的登记、编号、交接、清点等工作，有序搬迁，确保仪器、设备、物品等及时清点就位，不得损坏和丢失，若有损坏和丢失的按原价值赔偿。</w:t>
      </w:r>
      <w:r>
        <w:rPr>
          <w:rFonts w:hint="eastAsia" w:ascii="宋体" w:hAnsi="宋体" w:cs="宋体"/>
          <w:color w:val="auto"/>
          <w:sz w:val="24"/>
          <w:highlight w:val="none"/>
          <w:lang w:eastAsia="zh-CN"/>
        </w:rPr>
        <w:t>中标单位</w:t>
      </w:r>
      <w:r>
        <w:rPr>
          <w:rFonts w:hint="eastAsia" w:ascii="宋体" w:hAnsi="宋体" w:cs="宋体"/>
          <w:color w:val="auto"/>
          <w:sz w:val="24"/>
          <w:highlight w:val="none"/>
        </w:rPr>
        <w:t xml:space="preserve">针对需搬迁实训室或系统应配有相应的专业技术人员进行设备的拆卸、搬运、安装及调试，保证所有搬迁的仪器设备安全、无损伤地安装到位。 </w:t>
      </w:r>
    </w:p>
    <w:p>
      <w:pPr>
        <w:spacing w:line="360" w:lineRule="auto"/>
        <w:ind w:firstLine="480" w:firstLineChars="200"/>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设备安装：</w:t>
      </w:r>
      <w:r>
        <w:rPr>
          <w:rFonts w:hint="eastAsia" w:ascii="仿宋_GB2312" w:hAnsi="仿宋_GB2312" w:eastAsia="仿宋_GB2312" w:cs="仿宋_GB2312"/>
          <w:color w:val="auto"/>
          <w:sz w:val="24"/>
          <w:szCs w:val="24"/>
          <w:highlight w:val="none"/>
        </w:rPr>
        <w:t>仪器设备</w:t>
      </w:r>
      <w:r>
        <w:rPr>
          <w:rFonts w:hint="eastAsia" w:ascii="仿宋_GB2312" w:hAnsi="仿宋_GB2312" w:eastAsia="仿宋_GB2312" w:cs="仿宋_GB2312"/>
          <w:color w:val="auto"/>
          <w:sz w:val="24"/>
          <w:szCs w:val="24"/>
          <w:highlight w:val="none"/>
          <w:lang w:eastAsia="zh-CN"/>
        </w:rPr>
        <w:t>搬运至新桥校区</w:t>
      </w:r>
      <w:r>
        <w:rPr>
          <w:rFonts w:hint="eastAsia" w:ascii="仿宋_GB2312" w:hAnsi="仿宋_GB2312" w:eastAsia="仿宋_GB2312" w:cs="仿宋_GB2312"/>
          <w:color w:val="auto"/>
          <w:sz w:val="24"/>
          <w:szCs w:val="24"/>
          <w:highlight w:val="none"/>
        </w:rPr>
        <w:t>到位后，应进行全面检查、调试，各类仪器设备完好无损，仪器设备性能、精度与搬迁前的标准要求一样，恢复原有实训室使用功能。专业设备拆卸运输及安装应由成</w:t>
      </w:r>
      <w:r>
        <w:rPr>
          <w:rFonts w:hint="eastAsia" w:ascii="仿宋_GB2312" w:hAnsi="仿宋_GB2312" w:eastAsia="仿宋_GB2312" w:cs="仿宋_GB2312"/>
          <w:color w:val="auto"/>
          <w:sz w:val="24"/>
          <w:szCs w:val="24"/>
          <w:highlight w:val="none"/>
          <w:lang w:eastAsia="zh-CN"/>
        </w:rPr>
        <w:t>中标单位</w:t>
      </w:r>
      <w:r>
        <w:rPr>
          <w:rFonts w:hint="eastAsia" w:ascii="仿宋_GB2312" w:hAnsi="仿宋_GB2312" w:eastAsia="仿宋_GB2312" w:cs="仿宋_GB2312"/>
          <w:color w:val="auto"/>
          <w:sz w:val="24"/>
          <w:szCs w:val="24"/>
          <w:highlight w:val="none"/>
        </w:rPr>
        <w:t>指定的专业人员完成，重新安装的各类教学设备的各项功能、性能、精度应</w:t>
      </w:r>
      <w:r>
        <w:rPr>
          <w:rFonts w:hint="eastAsia" w:ascii="仿宋_GB2312" w:hAnsi="仿宋_GB2312" w:eastAsia="仿宋_GB2312" w:cs="仿宋_GB2312"/>
          <w:color w:val="auto"/>
          <w:sz w:val="24"/>
          <w:szCs w:val="24"/>
          <w:highlight w:val="none"/>
          <w:lang w:eastAsia="zh-CN"/>
        </w:rPr>
        <w:t>与</w:t>
      </w:r>
      <w:r>
        <w:rPr>
          <w:rFonts w:hint="eastAsia" w:ascii="仿宋_GB2312" w:hAnsi="仿宋_GB2312" w:eastAsia="仿宋_GB2312" w:cs="仿宋_GB2312"/>
          <w:color w:val="auto"/>
          <w:sz w:val="24"/>
          <w:szCs w:val="24"/>
          <w:highlight w:val="none"/>
        </w:rPr>
        <w:t>拆除前的</w:t>
      </w:r>
      <w:r>
        <w:rPr>
          <w:rFonts w:hint="eastAsia" w:ascii="仿宋_GB2312" w:hAnsi="仿宋_GB2312" w:eastAsia="仿宋_GB2312" w:cs="仿宋_GB2312"/>
          <w:color w:val="auto"/>
          <w:sz w:val="24"/>
          <w:szCs w:val="24"/>
          <w:highlight w:val="none"/>
          <w:lang w:eastAsia="zh-CN"/>
        </w:rPr>
        <w:t>各项设备功能相同</w:t>
      </w:r>
      <w:r>
        <w:rPr>
          <w:rFonts w:hint="eastAsia" w:ascii="仿宋_GB2312" w:hAnsi="仿宋_GB2312" w:eastAsia="仿宋_GB2312" w:cs="仿宋_GB2312"/>
          <w:color w:val="auto"/>
          <w:sz w:val="24"/>
          <w:szCs w:val="24"/>
          <w:highlight w:val="none"/>
        </w:rPr>
        <w:t>确保搬迁结束后设备功能正常，与搬迁前一致。</w:t>
      </w:r>
    </w:p>
    <w:p>
      <w:pPr>
        <w:spacing w:line="360" w:lineRule="auto"/>
        <w:ind w:firstLine="435"/>
        <w:rPr>
          <w:rFonts w:ascii="宋体" w:hAnsi="宋体" w:cs="宋体"/>
          <w:color w:val="auto"/>
          <w:sz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0</w:t>
      </w:r>
      <w:r>
        <w:rPr>
          <w:rFonts w:hint="eastAsia" w:ascii="仿宋_GB2312" w:hAnsi="仿宋_GB2312" w:eastAsia="仿宋_GB2312" w:cs="仿宋_GB2312"/>
          <w:color w:val="auto"/>
          <w:sz w:val="24"/>
          <w:szCs w:val="24"/>
          <w:highlight w:val="none"/>
        </w:rPr>
        <w:t>、</w:t>
      </w:r>
      <w:r>
        <w:rPr>
          <w:rFonts w:hint="eastAsia" w:ascii="宋体" w:hAnsi="宋体" w:cs="宋体"/>
          <w:color w:val="auto"/>
          <w:sz w:val="24"/>
          <w:highlight w:val="none"/>
        </w:rPr>
        <w:t>验收</w:t>
      </w:r>
      <w:r>
        <w:rPr>
          <w:rFonts w:hint="eastAsia" w:ascii="宋体" w:hAnsi="宋体" w:cs="宋体"/>
          <w:color w:val="auto"/>
          <w:sz w:val="24"/>
          <w:highlight w:val="none"/>
          <w:lang w:eastAsia="zh-CN"/>
        </w:rPr>
        <w:t>要求</w:t>
      </w:r>
      <w:r>
        <w:rPr>
          <w:rFonts w:hint="eastAsia" w:ascii="宋体" w:hAnsi="宋体" w:cs="宋体"/>
          <w:color w:val="auto"/>
          <w:sz w:val="24"/>
          <w:highlight w:val="none"/>
        </w:rPr>
        <w:t>：所有仪器设备、重型设备、专业设备及系统、配套设施、实训设备设施、资料等应按照要求搬迁到位和安装调试，且所有电子设备通电后能正常工作，软件需按要求安装调试并交付使用；所有搬迁仪器设备及物品没有损坏、丢失，仪器设备性能、精度没有降低；搬迁后各实训室必须回复到原有功能状态。</w:t>
      </w:r>
    </w:p>
    <w:p>
      <w:pPr>
        <w:spacing w:line="360" w:lineRule="auto"/>
        <w:ind w:firstLine="480" w:firstLineChars="200"/>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中标单位</w:t>
      </w:r>
      <w:r>
        <w:rPr>
          <w:rFonts w:hint="eastAsia" w:ascii="仿宋_GB2312" w:hAnsi="仿宋_GB2312" w:eastAsia="仿宋_GB2312" w:cs="仿宋_GB2312"/>
          <w:color w:val="auto"/>
          <w:sz w:val="24"/>
          <w:szCs w:val="24"/>
          <w:highlight w:val="none"/>
        </w:rPr>
        <w:t>在项目实施</w:t>
      </w:r>
      <w:r>
        <w:rPr>
          <w:rFonts w:hint="eastAsia" w:ascii="仿宋_GB2312" w:hAnsi="仿宋_GB2312" w:eastAsia="仿宋_GB2312" w:cs="仿宋_GB2312"/>
          <w:color w:val="auto"/>
          <w:sz w:val="24"/>
          <w:szCs w:val="24"/>
          <w:highlight w:val="none"/>
          <w:lang w:eastAsia="zh-CN"/>
        </w:rPr>
        <w:t>前</w:t>
      </w:r>
      <w:r>
        <w:rPr>
          <w:rFonts w:hint="eastAsia" w:ascii="仿宋_GB2312" w:hAnsi="仿宋_GB2312" w:eastAsia="仿宋_GB2312" w:cs="仿宋_GB2312"/>
          <w:color w:val="auto"/>
          <w:sz w:val="24"/>
          <w:szCs w:val="24"/>
          <w:highlight w:val="none"/>
        </w:rPr>
        <w:t>应做好足够的安全防范措施，按安全规范操作，为相关人员和第三方购买人身保险，特种作业人员应由搬迁服务供应商审核其作业资质。若出现安全事故，所有责任由</w:t>
      </w:r>
      <w:r>
        <w:rPr>
          <w:rFonts w:hint="eastAsia" w:ascii="仿宋_GB2312" w:hAnsi="仿宋_GB2312" w:eastAsia="仿宋_GB2312" w:cs="仿宋_GB2312"/>
          <w:color w:val="auto"/>
          <w:sz w:val="24"/>
          <w:szCs w:val="24"/>
          <w:highlight w:val="none"/>
          <w:lang w:eastAsia="zh-CN"/>
        </w:rPr>
        <w:t>中标单位</w:t>
      </w:r>
      <w:r>
        <w:rPr>
          <w:rFonts w:hint="eastAsia" w:ascii="仿宋_GB2312" w:hAnsi="仿宋_GB2312" w:eastAsia="仿宋_GB2312" w:cs="仿宋_GB2312"/>
          <w:color w:val="auto"/>
          <w:sz w:val="24"/>
          <w:szCs w:val="24"/>
          <w:highlight w:val="none"/>
        </w:rPr>
        <w:t>负责。</w:t>
      </w:r>
    </w:p>
    <w:p>
      <w:pPr>
        <w:spacing w:line="360" w:lineRule="auto"/>
        <w:ind w:firstLine="435"/>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2</w:t>
      </w:r>
      <w:r>
        <w:rPr>
          <w:rFonts w:hint="eastAsia" w:ascii="宋体" w:hAnsi="宋体" w:cs="宋体"/>
          <w:color w:val="auto"/>
          <w:sz w:val="24"/>
          <w:highlight w:val="none"/>
          <w:lang w:eastAsia="zh-CN"/>
        </w:rPr>
        <w:t>、</w:t>
      </w:r>
      <w:r>
        <w:rPr>
          <w:rFonts w:hint="eastAsia" w:ascii="宋体" w:hAnsi="宋体" w:cs="宋体"/>
          <w:color w:val="auto"/>
          <w:sz w:val="24"/>
          <w:highlight w:val="none"/>
        </w:rPr>
        <w:t>除了重大灾害等不可抗力或采购人另有要求并书面同意可以延期，</w:t>
      </w:r>
      <w:r>
        <w:rPr>
          <w:rFonts w:hint="eastAsia" w:ascii="宋体" w:hAnsi="宋体" w:cs="宋体"/>
          <w:color w:val="auto"/>
          <w:sz w:val="24"/>
          <w:highlight w:val="none"/>
          <w:lang w:eastAsia="zh-CN"/>
        </w:rPr>
        <w:t>中标单位</w:t>
      </w:r>
      <w:r>
        <w:rPr>
          <w:rFonts w:hint="eastAsia" w:ascii="宋体" w:hAnsi="宋体" w:cs="宋体"/>
          <w:color w:val="auto"/>
          <w:sz w:val="24"/>
          <w:highlight w:val="none"/>
        </w:rPr>
        <w:t xml:space="preserve">必须在规定期限内按工程量清单及要求按期完工。 </w:t>
      </w:r>
    </w:p>
    <w:p>
      <w:pPr>
        <w:spacing w:line="360" w:lineRule="auto"/>
        <w:ind w:firstLine="435"/>
        <w:rPr>
          <w:rFonts w:ascii="仿宋_GB2312" w:hAnsi="仿宋_GB2312" w:eastAsia="仿宋_GB2312" w:cs="仿宋_GB2312"/>
          <w:color w:val="auto"/>
          <w:sz w:val="24"/>
          <w:szCs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3、</w:t>
      </w:r>
      <w:r>
        <w:rPr>
          <w:rFonts w:hint="eastAsia" w:ascii="仿宋_GB2312" w:hAnsi="仿宋_GB2312" w:eastAsia="仿宋_GB2312" w:cs="仿宋_GB2312"/>
          <w:color w:val="auto"/>
          <w:sz w:val="24"/>
          <w:szCs w:val="24"/>
          <w:highlight w:val="none"/>
        </w:rPr>
        <w:t>具体搬迁</w:t>
      </w:r>
      <w:r>
        <w:rPr>
          <w:rFonts w:hint="eastAsia" w:ascii="仿宋_GB2312" w:hAnsi="仿宋_GB2312" w:eastAsia="仿宋_GB2312" w:cs="仿宋_GB2312"/>
          <w:color w:val="auto"/>
          <w:sz w:val="24"/>
          <w:szCs w:val="24"/>
          <w:highlight w:val="none"/>
          <w:lang w:eastAsia="zh-CN"/>
        </w:rPr>
        <w:t>内容、</w:t>
      </w:r>
      <w:r>
        <w:rPr>
          <w:rFonts w:hint="eastAsia" w:ascii="仿宋_GB2312" w:hAnsi="仿宋_GB2312" w:eastAsia="仿宋_GB2312" w:cs="仿宋_GB2312"/>
          <w:color w:val="auto"/>
          <w:sz w:val="24"/>
          <w:szCs w:val="24"/>
          <w:highlight w:val="none"/>
        </w:rPr>
        <w:t>数量</w:t>
      </w:r>
      <w:r>
        <w:rPr>
          <w:rFonts w:ascii="宋体" w:hAnsi="宋体" w:cs="宋体"/>
          <w:color w:val="auto"/>
          <w:sz w:val="24"/>
          <w:highlight w:val="none"/>
        </w:rPr>
        <w:t>及具体要求等见</w:t>
      </w:r>
      <w:r>
        <w:rPr>
          <w:rFonts w:hint="eastAsia" w:ascii="仿宋_GB2312" w:hAnsi="仿宋_GB2312" w:eastAsia="仿宋_GB2312" w:cs="仿宋_GB2312"/>
          <w:color w:val="auto"/>
          <w:sz w:val="24"/>
          <w:szCs w:val="24"/>
          <w:highlight w:val="none"/>
          <w:lang w:eastAsia="zh-CN"/>
        </w:rPr>
        <w:t>下方</w:t>
      </w:r>
      <w:r>
        <w:rPr>
          <w:rFonts w:hint="eastAsia" w:ascii="仿宋_GB2312" w:hAnsi="仿宋_GB2312" w:eastAsia="仿宋_GB2312" w:cs="仿宋_GB2312"/>
          <w:color w:val="auto"/>
          <w:sz w:val="24"/>
          <w:szCs w:val="24"/>
          <w:highlight w:val="none"/>
        </w:rPr>
        <w:t>各实训室明细表。</w:t>
      </w:r>
    </w:p>
    <w:p>
      <w:pPr>
        <w:spacing w:line="360" w:lineRule="auto"/>
        <w:ind w:firstLine="435"/>
        <w:rPr>
          <w:rFonts w:ascii="宋体" w:hAnsi="宋体" w:cs="宋体"/>
          <w:color w:val="auto"/>
          <w:sz w:val="24"/>
          <w:highlight w:val="none"/>
        </w:rPr>
      </w:pPr>
      <w:r>
        <w:rPr>
          <w:rFonts w:hint="eastAsia" w:ascii="宋体" w:hAnsi="宋体" w:cs="宋体"/>
          <w:color w:val="auto"/>
          <w:sz w:val="24"/>
          <w:highlight w:val="none"/>
          <w:lang w:val="en-US" w:eastAsia="zh-CN"/>
        </w:rPr>
        <w:t>14、</w:t>
      </w:r>
      <w:r>
        <w:rPr>
          <w:rFonts w:hint="eastAsia" w:ascii="宋体" w:hAnsi="宋体" w:cs="宋体"/>
          <w:color w:val="auto"/>
          <w:sz w:val="24"/>
          <w:highlight w:val="none"/>
        </w:rPr>
        <w:t>自搬迁开始之日起至所有设备搬迁到位验收之日止，所有搬迁设备的安全由中标单位负责。</w:t>
      </w:r>
    </w:p>
    <w:p>
      <w:pPr>
        <w:spacing w:line="360" w:lineRule="auto"/>
        <w:ind w:firstLine="435"/>
        <w:rPr>
          <w:rFonts w:hint="eastAsia" w:ascii="宋体" w:hAnsi="宋体" w:cs="宋体"/>
          <w:b/>
          <w:bCs/>
          <w:color w:val="auto"/>
          <w:sz w:val="24"/>
          <w:highlight w:val="none"/>
        </w:rPr>
      </w:pP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val="en-US" w:eastAsia="zh-CN"/>
        </w:rPr>
        <w:t>15</w:t>
      </w:r>
      <w:r>
        <w:rPr>
          <w:rFonts w:hint="eastAsia" w:ascii="宋体" w:hAnsi="宋体" w:cs="宋体"/>
          <w:b/>
          <w:bCs/>
          <w:color w:val="auto"/>
          <w:sz w:val="24"/>
          <w:highlight w:val="none"/>
        </w:rPr>
        <w:t>.</w:t>
      </w:r>
      <w:r>
        <w:rPr>
          <w:rFonts w:ascii="宋体" w:hAnsi="宋体" w:cs="宋体"/>
          <w:b/>
          <w:bCs/>
          <w:color w:val="auto"/>
          <w:sz w:val="24"/>
          <w:highlight w:val="none"/>
        </w:rPr>
        <w:t>搬迁</w:t>
      </w:r>
      <w:r>
        <w:rPr>
          <w:rFonts w:hint="eastAsia" w:ascii="宋体" w:hAnsi="宋体" w:cs="宋体"/>
          <w:b/>
          <w:bCs/>
          <w:color w:val="auto"/>
          <w:sz w:val="24"/>
          <w:highlight w:val="none"/>
        </w:rPr>
        <w:t>前需对此次搬迁采购需求设备清单中</w:t>
      </w:r>
      <w:r>
        <w:rPr>
          <w:rFonts w:hint="eastAsia" w:ascii="宋体" w:hAnsi="宋体" w:cs="宋体"/>
          <w:b/>
          <w:bCs/>
          <w:color w:val="auto"/>
          <w:sz w:val="24"/>
          <w:highlight w:val="none"/>
          <w:lang w:val="en-US" w:eastAsia="zh-CN"/>
        </w:rPr>
        <w:t>标</w:t>
      </w:r>
      <w:r>
        <w:rPr>
          <w:rFonts w:hint="eastAsia" w:ascii="宋体" w:hAnsi="宋体" w:cs="宋体"/>
          <w:b/>
          <w:bCs/>
          <w:color w:val="auto"/>
          <w:sz w:val="24"/>
          <w:highlight w:val="none"/>
          <w:lang w:eastAsia="zh-CN"/>
        </w:rPr>
        <w:t>“</w:t>
      </w:r>
      <w:r>
        <w:rPr>
          <w:rFonts w:hint="eastAsia" w:ascii="宋体" w:hAnsi="宋体" w:cs="宋体"/>
          <w:color w:val="auto"/>
          <w:sz w:val="24"/>
          <w:szCs w:val="24"/>
          <w:highlight w:val="none"/>
          <w:lang w:eastAsia="zh-CN"/>
        </w:rPr>
        <w:t>■</w:t>
      </w:r>
      <w:r>
        <w:rPr>
          <w:rFonts w:hint="eastAsia" w:ascii="宋体" w:hAnsi="宋体" w:cs="宋体"/>
          <w:b/>
          <w:bCs/>
          <w:color w:val="auto"/>
          <w:sz w:val="24"/>
          <w:highlight w:val="none"/>
          <w:lang w:eastAsia="zh-CN"/>
        </w:rPr>
        <w:t>”</w:t>
      </w:r>
      <w:r>
        <w:rPr>
          <w:rFonts w:hint="eastAsia" w:ascii="宋体" w:hAnsi="宋体" w:cs="宋体"/>
          <w:b/>
          <w:bCs/>
          <w:color w:val="auto"/>
          <w:sz w:val="24"/>
          <w:highlight w:val="none"/>
          <w:lang w:val="en-US" w:eastAsia="zh-CN"/>
        </w:rPr>
        <w:t>项</w:t>
      </w:r>
      <w:r>
        <w:rPr>
          <w:rFonts w:hint="eastAsia" w:ascii="宋体" w:hAnsi="宋体" w:cs="宋体"/>
          <w:b/>
          <w:bCs/>
          <w:color w:val="auto"/>
          <w:sz w:val="24"/>
          <w:highlight w:val="none"/>
        </w:rPr>
        <w:t>设备和参与搬迁的人员购买保险</w:t>
      </w:r>
      <w:r>
        <w:rPr>
          <w:rFonts w:hint="eastAsia" w:ascii="宋体" w:hAnsi="宋体" w:cs="宋体"/>
          <w:b/>
          <w:bCs/>
          <w:color w:val="auto"/>
          <w:sz w:val="24"/>
          <w:highlight w:val="none"/>
          <w:lang w:val="en-US" w:eastAsia="zh-CN"/>
        </w:rPr>
        <w:t>,</w:t>
      </w:r>
      <w:r>
        <w:rPr>
          <w:rFonts w:hint="eastAsia" w:ascii="宋体" w:hAnsi="宋体" w:cs="宋体"/>
          <w:b/>
          <w:bCs/>
          <w:color w:val="auto"/>
          <w:sz w:val="24"/>
          <w:highlight w:val="none"/>
        </w:rPr>
        <w:t>保险费用含在此次报价中。</w:t>
      </w:r>
    </w:p>
    <w:p>
      <w:pPr>
        <w:spacing w:line="360" w:lineRule="auto"/>
        <w:ind w:firstLine="435"/>
        <w:rPr>
          <w:rFonts w:ascii="宋体" w:hAnsi="宋体"/>
          <w:b/>
          <w:bCs/>
          <w:color w:val="auto"/>
          <w:sz w:val="24"/>
          <w:highlight w:val="none"/>
        </w:rPr>
      </w:pP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val="en-US" w:eastAsia="zh-CN"/>
        </w:rPr>
        <w:t>16</w:t>
      </w:r>
      <w:r>
        <w:rPr>
          <w:rFonts w:hint="eastAsia" w:ascii="宋体" w:hAnsi="宋体" w:cs="宋体"/>
          <w:b/>
          <w:bCs/>
          <w:color w:val="auto"/>
          <w:sz w:val="24"/>
          <w:highlight w:val="none"/>
        </w:rPr>
        <w:t>.自搬迁验收完成之日起，所有设备免费质保</w:t>
      </w:r>
      <w:r>
        <w:rPr>
          <w:rFonts w:hint="eastAsia" w:ascii="宋体" w:hAnsi="宋体" w:cs="宋体"/>
          <w:b/>
          <w:bCs/>
          <w:color w:val="auto"/>
          <w:sz w:val="24"/>
          <w:highlight w:val="none"/>
          <w:lang w:val="en-US" w:eastAsia="zh-CN"/>
        </w:rPr>
        <w:t>3</w:t>
      </w:r>
      <w:r>
        <w:rPr>
          <w:rFonts w:hint="eastAsia" w:ascii="宋体" w:hAnsi="宋体" w:cs="宋体"/>
          <w:b/>
          <w:bCs/>
          <w:color w:val="auto"/>
          <w:sz w:val="24"/>
          <w:highlight w:val="none"/>
        </w:rPr>
        <w:t>年。</w:t>
      </w:r>
    </w:p>
    <w:p>
      <w:pPr>
        <w:spacing w:line="360" w:lineRule="auto"/>
        <w:jc w:val="left"/>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rPr>
        <w:t xml:space="preserve">二、航海操纵模拟器实训室搬迁技术要求 </w:t>
      </w:r>
    </w:p>
    <w:p>
      <w:p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b/>
          <w:color w:val="auto"/>
          <w:sz w:val="24"/>
          <w:szCs w:val="24"/>
          <w:highlight w:val="none"/>
        </w:rPr>
        <w:t>中标单位负责：</w:t>
      </w:r>
      <w:r>
        <w:rPr>
          <w:rFonts w:hint="eastAsia" w:ascii="仿宋_GB2312" w:hAnsi="仿宋_GB2312" w:eastAsia="仿宋_GB2312" w:cs="仿宋_GB2312"/>
          <w:color w:val="auto"/>
          <w:sz w:val="24"/>
          <w:szCs w:val="24"/>
          <w:highlight w:val="none"/>
        </w:rPr>
        <w:t>包括安装环境设计、设备安装调试及配套件,包括新建主本船180度驾驶舱搭建和弧形屏幕搭建，新房间的吊顶、灯具、静电地板和弱电布设的费用，同时包括对现有模拟器和空调的拆解、包装、运输、安装和调试费用。</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color w:val="auto"/>
          <w:sz w:val="24"/>
          <w:szCs w:val="24"/>
          <w:highlight w:val="none"/>
        </w:rPr>
        <w:t>校方负责</w:t>
      </w:r>
      <w:r>
        <w:rPr>
          <w:rFonts w:hint="eastAsia" w:ascii="仿宋_GB2312" w:hAnsi="仿宋_GB2312" w:eastAsia="仿宋_GB2312" w:cs="仿宋_GB2312"/>
          <w:color w:val="auto"/>
          <w:sz w:val="24"/>
          <w:szCs w:val="24"/>
          <w:highlight w:val="none"/>
        </w:rPr>
        <w:t>：新房间强弱电布设、墙面大白、地面自流平、房间门窗。</w:t>
      </w:r>
    </w:p>
    <w:p>
      <w:pPr>
        <w:pStyle w:val="22"/>
        <w:rPr>
          <w:rFonts w:hint="eastAsia" w:ascii="仿宋_GB2312" w:hAnsi="仿宋_GB2312" w:eastAsia="仿宋_GB2312" w:cs="仿宋_GB2312"/>
          <w:color w:val="auto"/>
          <w:sz w:val="24"/>
          <w:szCs w:val="24"/>
          <w:highlight w:val="none"/>
        </w:rPr>
      </w:pPr>
    </w:p>
    <w:p>
      <w:pPr>
        <w:pStyle w:val="17"/>
        <w:rPr>
          <w:rFonts w:hint="eastAsia" w:ascii="仿宋_GB2312" w:hAnsi="仿宋_GB2312" w:eastAsia="仿宋_GB2312" w:cs="仿宋_GB2312"/>
          <w:color w:val="auto"/>
          <w:sz w:val="24"/>
          <w:szCs w:val="24"/>
          <w:highlight w:val="none"/>
        </w:rPr>
      </w:pPr>
    </w:p>
    <w:p>
      <w:pPr>
        <w:pStyle w:val="17"/>
        <w:rPr>
          <w:rFonts w:hint="eastAsia" w:ascii="仿宋_GB2312" w:hAnsi="仿宋_GB2312" w:eastAsia="仿宋_GB2312" w:cs="仿宋_GB2312"/>
          <w:color w:val="auto"/>
          <w:sz w:val="24"/>
          <w:szCs w:val="24"/>
          <w:highlight w:val="none"/>
        </w:rPr>
      </w:pPr>
    </w:p>
    <w:p>
      <w:pPr>
        <w:pStyle w:val="17"/>
        <w:rPr>
          <w:rFonts w:hint="eastAsia" w:ascii="仿宋_GB2312" w:hAnsi="仿宋_GB2312" w:eastAsia="仿宋_GB2312" w:cs="仿宋_GB2312"/>
          <w:color w:val="auto"/>
          <w:sz w:val="24"/>
          <w:szCs w:val="24"/>
          <w:highlight w:val="none"/>
        </w:rPr>
      </w:pPr>
    </w:p>
    <w:p>
      <w:pPr>
        <w:pStyle w:val="17"/>
        <w:rPr>
          <w:rFonts w:hint="eastAsia" w:ascii="仿宋_GB2312" w:hAnsi="仿宋_GB2312" w:eastAsia="仿宋_GB2312" w:cs="仿宋_GB2312"/>
          <w:color w:val="auto"/>
          <w:sz w:val="24"/>
          <w:szCs w:val="24"/>
          <w:highlight w:val="none"/>
        </w:rPr>
      </w:pPr>
    </w:p>
    <w:p>
      <w:pPr>
        <w:pStyle w:val="17"/>
        <w:rPr>
          <w:rFonts w:hint="eastAsia" w:ascii="仿宋_GB2312" w:hAnsi="仿宋_GB2312" w:eastAsia="仿宋_GB2312" w:cs="仿宋_GB2312"/>
          <w:color w:val="auto"/>
          <w:sz w:val="24"/>
          <w:szCs w:val="24"/>
          <w:highlight w:val="none"/>
        </w:rPr>
      </w:pPr>
    </w:p>
    <w:p>
      <w:pPr>
        <w:pStyle w:val="17"/>
        <w:rPr>
          <w:rFonts w:hint="eastAsia" w:ascii="仿宋_GB2312" w:hAnsi="仿宋_GB2312" w:eastAsia="仿宋_GB2312" w:cs="仿宋_GB2312"/>
          <w:color w:val="auto"/>
          <w:sz w:val="24"/>
          <w:szCs w:val="24"/>
          <w:highlight w:val="none"/>
        </w:rPr>
      </w:pPr>
    </w:p>
    <w:p>
      <w:pPr>
        <w:pStyle w:val="17"/>
        <w:rPr>
          <w:rFonts w:hint="eastAsia" w:ascii="仿宋_GB2312" w:hAnsi="仿宋_GB2312" w:eastAsia="仿宋_GB2312" w:cs="仿宋_GB2312"/>
          <w:color w:val="auto"/>
          <w:sz w:val="24"/>
          <w:szCs w:val="24"/>
          <w:highlight w:val="none"/>
        </w:rPr>
      </w:pPr>
    </w:p>
    <w:tbl>
      <w:tblPr>
        <w:tblStyle w:val="24"/>
        <w:tblW w:w="9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1510"/>
        <w:gridCol w:w="551"/>
        <w:gridCol w:w="5151"/>
        <w:gridCol w:w="1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12" w:type="dxa"/>
            <w:vAlign w:val="center"/>
          </w:tcPr>
          <w:p>
            <w:pPr>
              <w:rPr>
                <w:rFonts w:asciiTheme="minorEastAsia" w:hAnsiTheme="minorEastAsia" w:eastAsiaTheme="minorEastAsia" w:cstheme="minorEastAsia"/>
                <w:b/>
                <w:bCs/>
                <w:color w:val="auto"/>
                <w:szCs w:val="22"/>
                <w:highlight w:val="none"/>
              </w:rPr>
            </w:pPr>
            <w:r>
              <w:rPr>
                <w:rFonts w:hint="eastAsia" w:asciiTheme="minorEastAsia" w:hAnsiTheme="minorEastAsia" w:eastAsiaTheme="minorEastAsia" w:cstheme="minorEastAsia"/>
                <w:b/>
                <w:bCs/>
                <w:color w:val="auto"/>
                <w:szCs w:val="22"/>
                <w:highlight w:val="none"/>
              </w:rPr>
              <w:t>序号</w:t>
            </w:r>
          </w:p>
        </w:tc>
        <w:tc>
          <w:tcPr>
            <w:tcW w:w="1510" w:type="dxa"/>
            <w:vAlign w:val="center"/>
          </w:tcPr>
          <w:p>
            <w:pPr>
              <w:rPr>
                <w:rFonts w:asciiTheme="minorEastAsia" w:hAnsiTheme="minorEastAsia" w:eastAsiaTheme="minorEastAsia" w:cstheme="minorEastAsia"/>
                <w:b/>
                <w:bCs/>
                <w:color w:val="auto"/>
                <w:szCs w:val="22"/>
                <w:highlight w:val="none"/>
              </w:rPr>
            </w:pPr>
            <w:r>
              <w:rPr>
                <w:rFonts w:hint="eastAsia" w:asciiTheme="minorEastAsia" w:hAnsiTheme="minorEastAsia" w:eastAsiaTheme="minorEastAsia" w:cstheme="minorEastAsia"/>
                <w:b/>
                <w:bCs/>
                <w:color w:val="auto"/>
                <w:szCs w:val="22"/>
                <w:highlight w:val="none"/>
              </w:rPr>
              <w:t>工程项目</w:t>
            </w:r>
          </w:p>
        </w:tc>
        <w:tc>
          <w:tcPr>
            <w:tcW w:w="551" w:type="dxa"/>
            <w:vAlign w:val="center"/>
          </w:tcPr>
          <w:p>
            <w:pPr>
              <w:rPr>
                <w:rFonts w:asciiTheme="minorEastAsia" w:hAnsiTheme="minorEastAsia" w:eastAsiaTheme="minorEastAsia" w:cstheme="minorEastAsia"/>
                <w:b/>
                <w:bCs/>
                <w:color w:val="auto"/>
                <w:szCs w:val="22"/>
                <w:highlight w:val="none"/>
              </w:rPr>
            </w:pPr>
            <w:r>
              <w:rPr>
                <w:rFonts w:hint="eastAsia" w:asciiTheme="minorEastAsia" w:hAnsiTheme="minorEastAsia" w:eastAsiaTheme="minorEastAsia" w:cstheme="minorEastAsia"/>
                <w:b/>
                <w:bCs/>
                <w:color w:val="auto"/>
                <w:szCs w:val="22"/>
                <w:highlight w:val="none"/>
              </w:rPr>
              <w:t>数量</w:t>
            </w:r>
          </w:p>
        </w:tc>
        <w:tc>
          <w:tcPr>
            <w:tcW w:w="5151" w:type="dxa"/>
            <w:vAlign w:val="center"/>
          </w:tcPr>
          <w:p>
            <w:pPr>
              <w:tabs>
                <w:tab w:val="left" w:pos="1365"/>
              </w:tabs>
              <w:jc w:val="center"/>
              <w:rPr>
                <w:rFonts w:asciiTheme="minorEastAsia" w:hAnsiTheme="minorEastAsia" w:eastAsiaTheme="minorEastAsia" w:cstheme="minorEastAsia"/>
                <w:b/>
                <w:bCs/>
                <w:color w:val="auto"/>
                <w:szCs w:val="22"/>
                <w:highlight w:val="none"/>
              </w:rPr>
            </w:pPr>
            <w:r>
              <w:rPr>
                <w:rFonts w:hint="eastAsia" w:asciiTheme="minorEastAsia" w:hAnsiTheme="minorEastAsia" w:eastAsiaTheme="minorEastAsia" w:cstheme="minorEastAsia"/>
                <w:b/>
                <w:bCs/>
                <w:color w:val="auto"/>
                <w:szCs w:val="22"/>
                <w:highlight w:val="none"/>
              </w:rPr>
              <w:t>内容</w:t>
            </w:r>
          </w:p>
        </w:tc>
        <w:tc>
          <w:tcPr>
            <w:tcW w:w="1494" w:type="dxa"/>
            <w:vAlign w:val="center"/>
          </w:tcPr>
          <w:p>
            <w:pPr>
              <w:tabs>
                <w:tab w:val="left" w:pos="1365"/>
              </w:tabs>
              <w:jc w:val="center"/>
              <w:rPr>
                <w:rFonts w:asciiTheme="minorEastAsia" w:hAnsiTheme="minorEastAsia" w:eastAsiaTheme="minorEastAsia" w:cstheme="minorEastAsia"/>
                <w:b/>
                <w:bCs/>
                <w:color w:val="auto"/>
                <w:szCs w:val="22"/>
                <w:highlight w:val="none"/>
              </w:rPr>
            </w:pPr>
            <w:r>
              <w:rPr>
                <w:rFonts w:hint="eastAsia" w:asciiTheme="minorEastAsia" w:hAnsiTheme="minorEastAsia" w:eastAsiaTheme="minorEastAsia" w:cstheme="minorEastAsia"/>
                <w:b/>
                <w:bCs/>
                <w:color w:val="auto"/>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9"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 w:val="22"/>
                <w:szCs w:val="22"/>
                <w:highlight w:val="none"/>
              </w:rPr>
              <w:t>1</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检查教练员站工作台</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教练员站计算机开机，检查电脑是否出现黑屏，电源开关按键闪烁，电脑风扇转动声音异常等现象。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教练员站显示器开机，检查电视是否出现画面闪烁，不能正常识别电脑的信号，显示分辨率不正常等现象。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打开教练员站通信电话，检查话筒里是否有杂音，给本船打电话是否能正常接通。</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打开教练员站VHF设备，对学员端的VHF进行呼叫，检查设备是否正常，并检查声音是否清晰。</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教练员站监控电脑开机，检查电脑是否出现黑屏，电源开关按键闪烁，电脑风扇转动声音异常等现象。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教练员站监控显示器开机，检查电视是否正常显示监控画面，有无出现画面闪烁，不能正常识别电脑的信号，显示分辨率不正常等现象。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检查教练员站打印机，检查打印机是否正常开机，是否教练员站电脑连接到打印机，是否能打印教练站练习记录等。</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检查教练员站交换机是否正常工作，检查各个学生端的网线接口处灯光闪烁是否正常工作。</w:t>
            </w:r>
          </w:p>
        </w:tc>
        <w:tc>
          <w:tcPr>
            <w:tcW w:w="1494" w:type="dxa"/>
            <w:vMerge w:val="restart"/>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0"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 w:val="22"/>
                <w:szCs w:val="22"/>
                <w:highlight w:val="none"/>
              </w:rPr>
              <w:t>2</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检查一号GMDSS单元</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检查GMDSS单元控制台外表有无破损，检查边角以及易碰撞处是否掉漆，生锈等现象。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GMDSS单元控制台电脑开机，检查电脑是否出现黑屏，电源开关按键闪烁，电脑风扇转动声音异常等现象。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GMDSS单元控制台显示器开机，检查电视是否出现画面闪烁，不能正常识别电脑的信号，显示分辨率不正常等现象。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检查GMDSS单元控制台的控制单元，滚动轨迹球，观察显示器上鼠标轨迹是否随之移动，检查金属键盘各功能键是否正常工作。</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检查计算机，显示器的电源线是否存在破损，检查信号线与计算机和显示器的接口处是否存在裂痕，插拔是否正常，顺畅。</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9"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 w:val="22"/>
                <w:szCs w:val="22"/>
                <w:highlight w:val="none"/>
              </w:rPr>
              <w:t>3</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检查二号综合信息显示单元</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检查综合信息显示单元控制台外表有无破损，检查边角以及易碰撞处是否掉漆，生锈等现象。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综合信息显示控制台电脑开机，检查电脑是否出现黑屏，电源开关按键闪烁，电脑风扇转动声音异常等现象。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综合信息显示控制台显示器开机，检查电视是否出现画面闪烁，不能正常识别电脑的信号，显示分辨率不正常等现象。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检查计算机，显示器的电源线是否存在破损，检查信号线与计算机和显示器的接口处是否存在裂痕，插拔是否正常，顺畅。</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检查车钟触摸屏，打开触摸屏电源，教练站发送练习，点击触摸屏功能键检查触摸屏是否正常工作。</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检查号灯和锚泊触摸屏，打开触摸屏电源，教练站发送练习，点击触摸屏功能键检查触摸屏是否正常工作。</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检查舵轮触摸屏，打开触摸屏电源，教练站发送练习，点击触摸屏功能键检查触摸屏是否正常工作。</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检查车钟，打开专门的测试软件，分别测试前进一，二，三和后退一，二，三。在测试软件上检查数值是否正确。</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检查舵轮，打开专门的测试软件，分别测试左舵和右舵打舵角度，在测试软件上检查数值是否正确。</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检查侧推器，打开专门的测试软件，分别测试上下侧推器推到左右最大值的数值，在测试软件上检查数值是否正确。</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检查罗经，打开罗经，在教练站上发送练习，检查罗经读数与练习本船数据是否相同。</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检查全回转，打开专门的测试软件，推到全回转，检查测试软件上的数值是否正确。</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2"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 w:val="22"/>
                <w:szCs w:val="22"/>
                <w:highlight w:val="none"/>
              </w:rPr>
              <w:t>4</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检查三号JRC雷达显示单元</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检查雷达显示单元控制台外表有无破损，检查边角以及易碰撞处是否掉漆，生锈等现象。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雷达显示控制台电脑开机，检查电脑是否出现黑屏，电源开关按键闪烁，电脑风扇转动声音异常等现象。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雷达显示控制台显示器开机，检查电视是否出现画面闪烁，不能正常识别电脑的信号，显示分辨率不正常等现象。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检查雷达显示控制台的控制单元，滚动轨迹球，观察显示器上鼠标轨迹是否随之移动，检查金属键盘各功能键是否正常工作。</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检查计算机，显示器的电源线是否存在破损，检查信号线与计算机和显示器的接口处是否存在裂痕，插拔是否正常，顺畅。</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5"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 w:val="22"/>
                <w:szCs w:val="22"/>
                <w:highlight w:val="none"/>
              </w:rPr>
              <w:t>5</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检查四号电子海图显示系统</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检查电子海图显示单元控制台外表有无破损，检查边角以及易碰撞处是否掉漆，生锈等现象。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电子海图显示系统控制台电脑开机，检查电脑是否出现黑屏，电源开关按键闪烁，电脑风扇转动声音异常等现象。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电子海图控制台显示器开机，检查电视是否出现画面闪烁，不能正常识别电脑的信号，显示分辨率不正常等现象。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检查电子海图控制台的控制单元，滚动轨迹球，观察显示器上鼠标轨迹是否随之移动，检查金属键盘各功能键是否正常工作。</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检查计算机，显示器的电源线是否存在破损，检查信号线与计算机和显示器的接口处是否存在裂痕，插拔是否正常，顺畅。</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1"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 w:val="22"/>
                <w:szCs w:val="22"/>
                <w:highlight w:val="none"/>
              </w:rPr>
              <w:t>6</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检查五号望远镜模拟单元</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检查望远镜显示单元控制台外表有无破损，检查边角以及易碰撞处是否掉漆，生锈等现象。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望远镜显示控制台电脑开机，检查电脑是否出现黑屏，电源开关按键闪烁，电脑风扇转动声音异常等现象。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望远镜显示控制台显示器开机，检查电视是否出现画面闪烁，不能正常识别电脑的信号，显示分辨率不正常等现象。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检查望远镜显示控制台的控制单元，滚动轨迹球，观察显示器上鼠标轨迹是否随之移动，检查金属键盘各功能键是否正常工作。</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检查计算机，显示器的电源线是否存在破损，检查信号线与计算机和显示器的接口处是否存在裂痕，插拔是否正常，顺畅。</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 w:val="22"/>
                <w:szCs w:val="22"/>
                <w:highlight w:val="none"/>
              </w:rPr>
              <w:t>7</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检查GPS角控制台</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检查GPS控制台外表有无破损，检查边角以及易碰撞处是否掉漆，生锈等现象。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检查GPS设备是否正常开机工作，检查设备与本船程序连接情况。</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 w:val="22"/>
                <w:szCs w:val="22"/>
                <w:highlight w:val="none"/>
              </w:rPr>
              <w:t>8</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检查电话角控制台</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检查电话控制台外表有无破损，检查边角以及易碰撞处是否掉漆，生锈等现象。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检查电话设备话筒是否有杂音，与其他学生端通信设备是否能正常通话。</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 w:val="22"/>
                <w:szCs w:val="22"/>
                <w:highlight w:val="none"/>
              </w:rPr>
              <w:t>9</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检查VHF角控制台</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检查VHF控制台外表有无破损，检查边角以及易碰撞处是否掉漆，生锈等现象。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检查VHF设备是否有杂音，与其他学生端是否能正常通话。</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0"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 w:val="22"/>
                <w:szCs w:val="22"/>
                <w:highlight w:val="none"/>
              </w:rPr>
              <w:t>10</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其他检查</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检查通信控制台外表有无破损，检查边角以及易碰撞处是否掉漆，生锈等现象。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检查投影仪设备，检查投影仪灯泡的使用寿命和亮度，检查投影仪是否正常运行，检查投影仪是否存在色差。</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检查电视：检查电视是否出现画面闪烁，不能正常识别电脑的信号，显示分辨率不正常等现象。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检查音响：检查音响的是否存在杂音。</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检查抬头显示表头：检查每个表头的指示灯是否正常，检查表头是否正确反应船舶的航行数据。</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检查船用三面舵：检查三面舵外表是否有刮碰，指针位置是否正确，在打舵的情况下是否真实反映船舶舵角的变化。</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2"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 w:val="22"/>
                <w:szCs w:val="22"/>
                <w:highlight w:val="none"/>
              </w:rPr>
              <w:t>11</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检查一号综合信息显示单元</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4</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检查综合信息显示单元控制台外表有无破损，检查边角以及易碰撞处是否掉漆，生锈等现象。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综合信息显示控制台电脑开机，检查电脑是否出现黑屏，电源开关按键闪烁，电脑风扇转动声音异常等现象。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综合信息显示控制台显示器开机，检查电视是否出现画面闪烁，不能正常识别电脑的信号，显示分辨率不正常等现象。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检查计算机，显示器的电源线是否存在破损，检查信号线与计算机和显示器的接口处是否存在裂痕，插拔是否正常，顺畅。</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检查车钟触摸屏，打开触摸屏电源，教练站发送练习，点击触摸屏功能键检查触摸屏是否正常工作。</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检查号灯和锚泊触摸屏，打开触摸屏电源，教练站发送练习，点击触摸屏功能键检查触摸屏是否正常工作。</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检查舵轮触摸屏，打开触摸屏电源，教练站发送练习，点击触摸屏功能键检查触摸屏是否正常工作。</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检查车钟，打开专门的测试软件，分别测试前进一，二，三和后退一，二，三。在测试软件上检查数值是否正确。</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检查舵轮，打开专门的测试软件，分别测试左舵和右舵打舵角度，在测试软件上检查数值是否正确。</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检查侧推器，打开专门的测试软件，分别测试上下侧推器推到左右最大值的数值，在测试软件上检查数值是否正确。</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检查罗经，打开罗经，在教练站上发送练习，检查罗经读数与练习本船数据是否相同。</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检查全回转，打开专门的测试软件，推到全回转，检查测试软件上的数值是否正确。</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0"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 w:val="22"/>
                <w:szCs w:val="22"/>
                <w:highlight w:val="none"/>
              </w:rPr>
              <w:t>12</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检查二号JRC雷达显示单元</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4</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检查雷达显示单元控制台外表有无破损，检查边角以及易碰撞处是否掉漆，生锈等现象。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雷达显示控制台电脑开机，检查电脑是否出现黑屏，电源开关按键闪烁，电脑风扇转动声音异常等现象。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雷达显示控制台显示器开机，检查电视是否出现画面闪烁，不能正常识别电脑的信号，显示分辨率不正常等现象。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检查雷达显示控制台的控制单元，滚动轨迹球，观察显示器上鼠标轨迹是否随之移动，检查金属键盘各功能键是否正常工作。</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检查计算机，显示器的电源线是否存在破损，检查信号线与计算机和显示器的接口处是否存在裂痕，插拔是否正常，顺畅。</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1"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 w:val="22"/>
                <w:szCs w:val="22"/>
                <w:highlight w:val="none"/>
              </w:rPr>
              <w:t>13</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检查三号电子海图显示系统</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4</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检查电子海图显示单元控制台外表有无破损，检查边角以及易碰撞处是否掉漆，生锈等现象。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电子海图显示系统控制台电脑开机，检查电脑是否出现黑屏，电源开关按键闪烁，电脑风扇转动声音异常等现象。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电子海图控制台显示器开机，检查电视是否出现画面闪烁，不能正常识别电脑的信号，显示分辨率不正常等现象。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检查电子海图控制台的控制单元，滚动轨迹球，观察显示器上鼠标轨迹是否随之移动，检查金属键盘各功能键是否正常工作。</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检查计算机，显示器的电源线是否存在破损，检查信号线与计算机和显示器的接口处是否存在裂痕，插拔是否正常，顺畅。</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3"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asciiTheme="minorEastAsia" w:hAnsiTheme="minorEastAsia" w:eastAsiaTheme="minorEastAsia" w:cstheme="minorEastAsia"/>
                <w:color w:val="auto"/>
                <w:sz w:val="22"/>
                <w:szCs w:val="22"/>
                <w:highlight w:val="none"/>
              </w:rPr>
              <w:t xml:space="preserve"> 14</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检查四号望远镜模拟单元</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4</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检查望远镜显示单元控制台外表有无破损，检查边角以及易碰撞处是否掉漆，生锈等现象。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望远镜显示控制台电脑开机，检查电脑是否出现黑屏，电源开关按键闪烁，电脑风扇转动声音异常等现象。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望远镜显示控制台显示器开机，检查电视是否出现画面闪烁，不能正常识别电脑的信号，显示分辨率不正常等现象。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检查望远镜显示控制台的控制单元，滚动轨迹球，观察显示器上鼠标轨迹是否随之移动，检查金属键盘各功能键是否正常工作。</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检查计算机，显示器的电源线是否存在破损，检查信号线与计算机和显示器的接口处是否存在裂痕，插拔是否正常，顺畅。</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9"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 w:val="22"/>
                <w:szCs w:val="22"/>
                <w:highlight w:val="none"/>
              </w:rPr>
              <w:t>15</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检查五号GMDSS单元</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4</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检查GMDSS单元控制台外表有无破损，检查边角以及易碰撞处是否掉漆，生锈等现象。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GMDSS单元控制台电脑开机，检查电脑是否出现黑屏，电源开关按键闪烁，电脑风扇转动声音异常等现象。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GMDSS单元控制台显示器开机，检查电视是否出现画面闪烁，不能正常识别电脑的信号，显示分辨率不正常等现象。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检查GMDSS单元控制台的控制单元，滚动轨迹球，观察显示器上鼠标轨迹是否随之移动，检查金属键盘各功能键是否正常工作。</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检查计算机，显示器的电源线是否存在破损，检查信号线与计算机和显示器的接口处是否存在裂痕，插拔是否正常，顺畅。</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6"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 w:val="22"/>
                <w:szCs w:val="22"/>
                <w:highlight w:val="none"/>
              </w:rPr>
              <w:t>16</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检查GPS，VHF角控制台</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4</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检查GPS控制台外表有无破损，检查边角以及易碰撞处是否掉漆，生锈等现象。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检查GPS设备是否正常开机工作，检查设备与本船程序连接情况。</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检查VHF控制台外表有无破损，检查边角以及易碰撞处是否掉漆，生锈等现象。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检查VHF设备是否有杂音，与其他学生端是否能正常通话。</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3"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 w:val="22"/>
                <w:szCs w:val="22"/>
                <w:highlight w:val="none"/>
              </w:rPr>
              <w:t>17</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检查通信，电话角控制台</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4</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检查通信控制台外表有无破损，检查边角以及易碰撞处是否掉漆，生锈等现象。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检查电话角控制台</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检查电话控制台外表有无破损，检查边角以及易碰撞处是否掉漆，生锈等现象。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检查电话设备话筒是否有杂音，与其他学生端通信设备是否能正常通话。</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3"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 w:val="22"/>
                <w:szCs w:val="22"/>
                <w:highlight w:val="none"/>
              </w:rPr>
              <w:t>18</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检查副本船监控设备</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4</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摄像头：检查摄像头外表是否存在破损，检查摄像头是否能正常工作传输画面到显示器，检查摄像头的画质是否存在模糊，色差等现象。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摄像头显示器：检查电视是否出现画面闪烁，不能正常识别电脑的信号，显示分辨率不正常等现象。</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0"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 w:val="22"/>
                <w:szCs w:val="22"/>
                <w:highlight w:val="none"/>
              </w:rPr>
              <w:t>19</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检查3D设备</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4</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检查视景电视:检查电视是否出现画面闪烁，不能正常识别电脑的信号，显示分辨率不正常等现象。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检查视景电视架:检查电视机架是否有破损，变形，支撑力不足等情况。</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检查视景计算机：检查电脑是否出现黑屏，电源开关按键闪烁，电脑风扇转动声音异常等现象。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检查视景机柜：检查机柜外表是否存在磕碰现象，内部结构是否安全，电源线是否安全。</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检查抬头显示器：检查显示器是否出现画面闪烁，不能正常识别电脑的信号，显示分辨率不正常等现象。</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3"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 w:val="22"/>
                <w:szCs w:val="22"/>
                <w:highlight w:val="none"/>
              </w:rPr>
              <w:t>20</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检查教练员站监控系统</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4</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摄像头：检查摄像头外表是否存在破损，检查摄像头是否能正常工作传输画面到显示器，检查摄像头的画质是否存在模糊，色差等现象。</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摄像头显示器：检查电视是否出现画面闪烁，不能正常识别电脑的信号，显示分辨率不正常等现象。</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6"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 w:val="22"/>
                <w:szCs w:val="22"/>
                <w:highlight w:val="none"/>
              </w:rPr>
              <w:t>21</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拆卸教练员站</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给所有教练站设备以及线路编号、排序；教练站桌所有板材编号，螺丝打包整理。</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教练站桌所有板材拆卸及打包；教练站桌所有板材及螺丝清点。</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把教练员站电脑贴好标签，拆下电源线和信号线以及显示器电源线整理打包。</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所有教练员站电脑和显示器包装装箱。</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拆卸教练员站交换机：把所有的交换机上的信号端口拔掉，整理交换机以及电源线打包装箱。</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拆卸教练员站电话：把教练员站的电话网线接口按顺序拆下，之后把电话从教练台上拆下，包装好装箱。</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拆卸教练员站功放:把攻放的声音输入端从教练站计算机上拆下，之后仔细包装好攻放装箱。</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拆卸教练员站VHF设备：把VHF天线拆除，之后把VHF的信号线从教练站计算机上拆除，最后把VHF从教练站工作台上拆除，最后整理好打包装箱。</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拆除教练员站打印机：整理好打印机电源线和打印机，打包装箱。</w:t>
            </w:r>
          </w:p>
        </w:tc>
        <w:tc>
          <w:tcPr>
            <w:tcW w:w="1494" w:type="dxa"/>
            <w:vMerge w:val="restart"/>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0"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宋体" w:hAnsi="宋体" w:cs="宋体"/>
                <w:color w:val="auto"/>
                <w:sz w:val="24"/>
                <w:szCs w:val="24"/>
                <w:highlight w:val="none"/>
                <w:lang w:eastAsia="zh-CN"/>
              </w:rPr>
              <w:t>■</w:t>
            </w:r>
            <w:r>
              <w:rPr>
                <w:rFonts w:hint="eastAsia" w:asciiTheme="minorEastAsia" w:hAnsiTheme="minorEastAsia" w:eastAsiaTheme="minorEastAsia" w:cstheme="minorEastAsia"/>
                <w:color w:val="auto"/>
                <w:sz w:val="22"/>
                <w:szCs w:val="22"/>
                <w:highlight w:val="none"/>
              </w:rPr>
              <w:t>22</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船舶操纵控制台</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4</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控制台拆卸：控制台台体编号拆卸，各零部件以及螺丝打包。</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计算机拆卸：把电脑贴好标签，表明电脑的计算机名，拆下电源线和信号线包装装箱。</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显示器拆卸：把显示器的电源线和高清线编号打包，与显示器支架以及其他配件装好装在防碰撞箱子。</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控制单元拆卸：把控制单元数据线缠好与控制单元一同装好。</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0"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宋体" w:hAnsi="宋体" w:cs="宋体"/>
                <w:color w:val="auto"/>
                <w:sz w:val="24"/>
                <w:szCs w:val="24"/>
                <w:highlight w:val="none"/>
                <w:lang w:eastAsia="zh-CN"/>
              </w:rPr>
              <w:t>■</w:t>
            </w:r>
            <w:r>
              <w:rPr>
                <w:rFonts w:hint="eastAsia" w:asciiTheme="minorEastAsia" w:hAnsiTheme="minorEastAsia" w:eastAsiaTheme="minorEastAsia" w:cstheme="minorEastAsia"/>
                <w:color w:val="auto"/>
                <w:sz w:val="22"/>
                <w:szCs w:val="22"/>
                <w:highlight w:val="none"/>
              </w:rPr>
              <w:t>23</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大型操作控制台</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控制台拆卸：控制台拆卸：控制台台体编号拆卸，各零部件以及螺丝打包。</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触摸屏拆卸：首先把触摸屏的电源信号线编号后与触摸屏一一对应，之后把触摸屏卸下后放在防撞箱子里，表明触摸屏原来的名称以及是属于横竖屏，整理好后触摸屏包装仪器，信号线另外包装，螺丝集中收集在仪器装箱。</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车钟拆卸：首先把车钟的电源线和信号线分别从控制板和电箱处拆卸下来，之后把车钟从控制台处拆卸下来。车钟，电源线以及信号线分别包装。</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舵轮拆卸：首先把舵轮的电源线和信号线分别从控制板和电箱处拆卸下来，之后把舵轮从控制台处拆卸下来。舵轮，电源线以及信号线分别包装。</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罗经拆卸：首先把罗经的电源线和信号线分别从控制板和电箱处拆卸下来，之后把罗经从控制台处拆卸下来。罗经，电源线以及信号线分别包装。</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侧推器拆卸：首先把侧推器的电源线和信号线分别从控制板和电箱处拆卸下来，之后把侧推器从控制台处拆卸下来。侧推器，电源线以及信号线分别包装。</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全回转拆卸：首先把全回转的电源线和信号线分别从控制板和电箱处拆卸下来，之后把全回转从控制台处拆卸下来。全回转，电源线以及信号线分别包装。</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计算机拆卸：把电脑贴好标签，表明电脑的计算机名，拆下电源线和信号线包装装箱。</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显示器拆卸：把显示器的电源线和高清线编号打包，与显示器支架以及其他配件装好装在防碰撞箱子。</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抬头显示器拆卸：首先把抬头显示器的电源线和高清线打包，显示器的支架单独装在一个箱子并且表明是抬头显示器专属的箱子。</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2"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 w:val="22"/>
                <w:szCs w:val="22"/>
                <w:highlight w:val="none"/>
              </w:rPr>
              <w:t>24</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角控制台</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2</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控制台拆卸：控制台台体编号拆卸，各零部件以及螺丝打包。</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GPS拆卸：把GPS的天线首先拆下来，之后把GPS输入信号线从转换机中拆下来最后把GPS从控制台上拆卸，GPS，信号线，天线，螺丝零件等都要分别装箱。</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VHF拆卸：要把VHF对讲机的支架，VHF设备从控制台上拆卸下来，之后把VHF以及支架装箱，其他螺丝零件等另外表明装箱。</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通信设备拆卸：把通信设备从控制台上拆卸下后直接装箱。</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电话拆卸：首先把电话的网线从电话上拆下来，之后把各副本船的电话线从电话上面拆下来，最后把电话从控制台上拆卸下来装箱。</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3"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 w:val="22"/>
                <w:szCs w:val="22"/>
                <w:highlight w:val="none"/>
              </w:rPr>
              <w:t>25</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投影仪</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5</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投影仪高清线拆卸：把投影仪高清线编号按照米数缠好装箱。</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投影仪架子拆卸：把投影仪架子从墙上卸下后与螺丝等零件装箱包装。</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投影仪拆卸：把投影仪从架子上拆下来，并且把投影仪镜头单独查下来装好，之后把投影仪按照编号表明通道号装箱。</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0"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 w:val="22"/>
                <w:szCs w:val="22"/>
                <w:highlight w:val="none"/>
              </w:rPr>
              <w:t>26</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船舶操纵控制台</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16</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控制台拆卸：控制台台体编号拆卸，各零部件以及螺丝打包。</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计算机拆卸：把电脑贴好标签，表明电脑的计算机名，拆下电源线和信号线包装装箱。</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显示器拆卸：把显示器的电源线和高清线编号打包，与显示器支架以及其他配件装好装在防碰撞箱子。</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控制单元拆卸：把控制单元数据线缠好与控制单元一同装好。</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宋体" w:hAnsi="宋体" w:cs="宋体"/>
                <w:color w:val="auto"/>
                <w:sz w:val="24"/>
                <w:szCs w:val="24"/>
                <w:highlight w:val="none"/>
                <w:lang w:eastAsia="zh-CN"/>
              </w:rPr>
              <w:t>■</w:t>
            </w:r>
            <w:r>
              <w:rPr>
                <w:rFonts w:hint="eastAsia" w:asciiTheme="minorEastAsia" w:hAnsiTheme="minorEastAsia" w:eastAsiaTheme="minorEastAsia" w:cstheme="minorEastAsia"/>
                <w:color w:val="auto"/>
                <w:sz w:val="22"/>
                <w:szCs w:val="22"/>
                <w:highlight w:val="none"/>
              </w:rPr>
              <w:t>27</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大型操作控制台</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4</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控制台拆卸：控制台拆卸：控制台台体编号拆卸，各零部件以及螺丝打包。</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触摸屏拆卸：首先把触摸屏的电源信号线编号后与触摸屏一一对应，之后把触摸屏卸下后放在防撞箱子里，表明触摸屏原来的名称以及是属于横竖屏，整理好后触摸屏包装仪器，信号线另外包装，螺丝集中收集在仪器装箱。</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车钟拆卸：首先把车钟的电源线和信号线分别从控制板和电箱处拆卸下来，之后把车钟从控制台处拆卸下来。车钟，电源线以及信号线分别包装。</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舵轮拆卸：首先把舵轮的电源线和信号线分别从控制板和电箱处拆卸下来，之后把舵轮从控制台处拆卸下来。舵轮，电源线以及信号线分别包装。</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罗经拆卸：首先把罗经的电源线和信号线分别从控制板和电箱处拆卸下来，之后把罗经从控制台处拆卸下来。罗经，电源线以及信号线分别包装。</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侧推器拆卸：首先把侧推器的电源线和信号线分别从控制板和电箱处拆卸下来，之后把侧推器从控制台处拆卸下来。侧推器，电源线以及信号线分别包装。</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全回转拆卸：首先把全回转的电源线和信号线分别从控制板和电箱处拆卸下来，之后把全回转从控制台处拆卸下来。全回转，电源线以及信号线分别包装。</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计算机拆卸：把电脑贴好标签，表明电脑的计算机名，拆下电源线和信号线包装装箱。</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显示器拆卸：把显示器的电源线和高清线编号打包，与显示器支架以及其他配件装好装在防碰撞箱子。</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抬头显示器拆卸：首先把抬头显示器的电源线和高清线打包，显示器的支架单独装在一个箱子并且表明是抬头显示器专属的箱子。</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0" w:hRule="atLeast"/>
          <w:jc w:val="center"/>
        </w:trPr>
        <w:tc>
          <w:tcPr>
            <w:tcW w:w="812" w:type="dxa"/>
            <w:vMerge w:val="restart"/>
            <w:vAlign w:val="center"/>
          </w:tcPr>
          <w:p>
            <w:pP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28</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角控制台</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4</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控制台拆卸：控制台台体编号拆卸，各零部件以及螺丝打包。</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GPS拆卸：把GPS的天线首先拆下来，之后把GPS输入信号线从转换机中拆下来最后把GPS从控制台上拆卸，GPS，信号线，天线，螺丝零件等都要分别装箱。</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VHF拆卸：要把VHF对讲机的支架，VHF设备从控制台上拆卸下来，之后把VHF以及支架装箱，其他螺丝零件等另外表明装箱。</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通信设备拆卸：把通信设备从控制台上拆卸下后直接装箱。</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电话拆卸：首先把电话的网线从电话上拆下来，之后把各副本船的电话线从电话上面拆下来，最后把电话从控制台上拆卸下来装箱。</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812" w:type="dxa"/>
            <w:vMerge w:val="continue"/>
            <w:vAlign w:val="center"/>
          </w:tcPr>
          <w:p>
            <w:pPr>
              <w:jc w:val="center"/>
              <w:rPr>
                <w:rFonts w:asciiTheme="minorEastAsia" w:hAnsiTheme="minorEastAsia" w:eastAsiaTheme="minorEastAsia" w:cstheme="minorEastAsia"/>
                <w:color w:val="auto"/>
                <w:szCs w:val="22"/>
                <w:highlight w:val="none"/>
              </w:rPr>
            </w:pPr>
          </w:p>
        </w:tc>
        <w:tc>
          <w:tcPr>
            <w:tcW w:w="1510" w:type="dxa"/>
            <w:vMerge w:val="restart"/>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视景电视及电视架</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12</w:t>
            </w:r>
          </w:p>
        </w:tc>
        <w:tc>
          <w:tcPr>
            <w:tcW w:w="5151" w:type="dxa"/>
            <w:vAlign w:val="center"/>
          </w:tcPr>
          <w:p>
            <w:pP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电视架拆卸：把电视架拆成支架，底座，托盘等单独零件与对应的螺丝工具等一同包装。</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812" w:type="dxa"/>
            <w:vMerge w:val="continue"/>
            <w:vAlign w:val="center"/>
          </w:tcPr>
          <w:p>
            <w:pPr>
              <w:jc w:val="center"/>
              <w:rPr>
                <w:rFonts w:asciiTheme="minorEastAsia" w:hAnsiTheme="minorEastAsia" w:eastAsiaTheme="minorEastAsia" w:cstheme="minorEastAsia"/>
                <w:color w:val="auto"/>
                <w:szCs w:val="22"/>
                <w:highlight w:val="none"/>
              </w:rPr>
            </w:pPr>
          </w:p>
        </w:tc>
        <w:tc>
          <w:tcPr>
            <w:tcW w:w="1510" w:type="dxa"/>
            <w:vMerge w:val="continue"/>
            <w:vAlign w:val="center"/>
          </w:tcPr>
          <w:p>
            <w:pPr>
              <w:jc w:val="center"/>
              <w:rPr>
                <w:rFonts w:asciiTheme="minorEastAsia" w:hAnsiTheme="minorEastAsia" w:eastAsiaTheme="minorEastAsia" w:cstheme="minorEastAsia"/>
                <w:color w:val="auto"/>
                <w:szCs w:val="22"/>
                <w:highlight w:val="none"/>
              </w:rPr>
            </w:pP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12</w:t>
            </w:r>
          </w:p>
        </w:tc>
        <w:tc>
          <w:tcPr>
            <w:tcW w:w="5151" w:type="dxa"/>
            <w:vAlign w:val="center"/>
          </w:tcPr>
          <w:p>
            <w:pP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电视拆卸：首先把电视安装通道位置编号贴好，之后把电视拆卸后装在防碰撞的箱子里面。</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812" w:type="dxa"/>
            <w:vMerge w:val="continue"/>
            <w:vAlign w:val="center"/>
          </w:tcPr>
          <w:p>
            <w:pPr>
              <w:jc w:val="center"/>
              <w:rPr>
                <w:rFonts w:asciiTheme="minorEastAsia" w:hAnsiTheme="minorEastAsia" w:eastAsiaTheme="minorEastAsia" w:cstheme="minorEastAsia"/>
                <w:color w:val="auto"/>
                <w:szCs w:val="22"/>
                <w:highlight w:val="none"/>
              </w:rPr>
            </w:pPr>
          </w:p>
        </w:tc>
        <w:tc>
          <w:tcPr>
            <w:tcW w:w="1510" w:type="dxa"/>
            <w:vMerge w:val="continue"/>
            <w:vAlign w:val="center"/>
          </w:tcPr>
          <w:p>
            <w:pPr>
              <w:jc w:val="center"/>
              <w:rPr>
                <w:rFonts w:asciiTheme="minorEastAsia" w:hAnsiTheme="minorEastAsia" w:eastAsiaTheme="minorEastAsia" w:cstheme="minorEastAsia"/>
                <w:color w:val="auto"/>
                <w:szCs w:val="22"/>
                <w:highlight w:val="none"/>
              </w:rPr>
            </w:pP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12</w:t>
            </w:r>
          </w:p>
        </w:tc>
        <w:tc>
          <w:tcPr>
            <w:tcW w:w="5151" w:type="dxa"/>
            <w:vAlign w:val="center"/>
          </w:tcPr>
          <w:p>
            <w:pP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视景计算机:把电脑贴好标签，把电脑后面的电子狗拔下来收集好，在电脑上贴上每台计算机名，拆下电源线和信号线包装装箱。</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812" w:type="dxa"/>
            <w:vMerge w:val="continue"/>
            <w:vAlign w:val="center"/>
          </w:tcPr>
          <w:p>
            <w:pPr>
              <w:jc w:val="center"/>
              <w:rPr>
                <w:rFonts w:asciiTheme="minorEastAsia" w:hAnsiTheme="minorEastAsia" w:eastAsiaTheme="minorEastAsia" w:cstheme="minorEastAsia"/>
                <w:color w:val="auto"/>
                <w:szCs w:val="22"/>
                <w:highlight w:val="none"/>
              </w:rPr>
            </w:pPr>
          </w:p>
        </w:tc>
        <w:tc>
          <w:tcPr>
            <w:tcW w:w="1510" w:type="dxa"/>
            <w:vMerge w:val="continue"/>
            <w:vAlign w:val="center"/>
          </w:tcPr>
          <w:p>
            <w:pPr>
              <w:jc w:val="center"/>
              <w:rPr>
                <w:rFonts w:asciiTheme="minorEastAsia" w:hAnsiTheme="minorEastAsia" w:eastAsiaTheme="minorEastAsia" w:cstheme="minorEastAsia"/>
                <w:color w:val="auto"/>
                <w:szCs w:val="22"/>
                <w:highlight w:val="none"/>
              </w:rPr>
            </w:pP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12</w:t>
            </w:r>
          </w:p>
        </w:tc>
        <w:tc>
          <w:tcPr>
            <w:tcW w:w="5151" w:type="dxa"/>
            <w:vAlign w:val="center"/>
          </w:tcPr>
          <w:p>
            <w:pP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控制台计算机：把电脑贴好标签，把电脑后面的电子狗拔下来收集好，在电脑上贴上每台计算机名，拆下电源线和信号线包装装箱。</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812" w:type="dxa"/>
            <w:vMerge w:val="continue"/>
            <w:vAlign w:val="center"/>
          </w:tcPr>
          <w:p>
            <w:pPr>
              <w:jc w:val="center"/>
              <w:rPr>
                <w:rFonts w:asciiTheme="minorEastAsia" w:hAnsiTheme="minorEastAsia" w:eastAsiaTheme="minorEastAsia" w:cstheme="minorEastAsia"/>
                <w:color w:val="auto"/>
                <w:szCs w:val="22"/>
                <w:highlight w:val="none"/>
              </w:rPr>
            </w:pPr>
          </w:p>
        </w:tc>
        <w:tc>
          <w:tcPr>
            <w:tcW w:w="1510" w:type="dxa"/>
            <w:vMerge w:val="continue"/>
            <w:vAlign w:val="center"/>
          </w:tcPr>
          <w:p>
            <w:pPr>
              <w:jc w:val="center"/>
              <w:rPr>
                <w:rFonts w:asciiTheme="minorEastAsia" w:hAnsiTheme="minorEastAsia" w:eastAsiaTheme="minorEastAsia" w:cstheme="minorEastAsia"/>
                <w:color w:val="auto"/>
                <w:szCs w:val="22"/>
                <w:highlight w:val="none"/>
              </w:rPr>
            </w:pP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4</w:t>
            </w:r>
          </w:p>
        </w:tc>
        <w:tc>
          <w:tcPr>
            <w:tcW w:w="5151" w:type="dxa"/>
            <w:vAlign w:val="center"/>
          </w:tcPr>
          <w:p>
            <w:pP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视景机柜：把机柜内部清空，钥匙单独收集起来，用专门的包装泡沫把机柜缠起防止磕碰。</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812" w:type="dxa"/>
            <w:vMerge w:val="continue"/>
            <w:vAlign w:val="center"/>
          </w:tcPr>
          <w:p>
            <w:pPr>
              <w:jc w:val="center"/>
              <w:rPr>
                <w:rFonts w:asciiTheme="minorEastAsia" w:hAnsiTheme="minorEastAsia" w:eastAsiaTheme="minorEastAsia" w:cstheme="minorEastAsia"/>
                <w:color w:val="auto"/>
                <w:szCs w:val="22"/>
                <w:highlight w:val="none"/>
              </w:rPr>
            </w:pPr>
          </w:p>
        </w:tc>
        <w:tc>
          <w:tcPr>
            <w:tcW w:w="1510" w:type="dxa"/>
            <w:vMerge w:val="continue"/>
            <w:vAlign w:val="center"/>
          </w:tcPr>
          <w:p>
            <w:pPr>
              <w:jc w:val="center"/>
              <w:rPr>
                <w:rFonts w:asciiTheme="minorEastAsia" w:hAnsiTheme="minorEastAsia" w:eastAsiaTheme="minorEastAsia" w:cstheme="minorEastAsia"/>
                <w:color w:val="auto"/>
                <w:szCs w:val="22"/>
                <w:highlight w:val="none"/>
              </w:rPr>
            </w:pP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12</w:t>
            </w:r>
          </w:p>
        </w:tc>
        <w:tc>
          <w:tcPr>
            <w:tcW w:w="5151" w:type="dxa"/>
            <w:vAlign w:val="center"/>
          </w:tcPr>
          <w:p>
            <w:pP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控制台显示器：首先把电视安装通道位置编号贴好，之后把电视拆卸后装在防碰撞的箱子里面。</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12" w:type="dxa"/>
            <w:vMerge w:val="continue"/>
            <w:vAlign w:val="center"/>
          </w:tcPr>
          <w:p>
            <w:pPr>
              <w:jc w:val="center"/>
              <w:rPr>
                <w:rFonts w:asciiTheme="minorEastAsia" w:hAnsiTheme="minorEastAsia" w:eastAsiaTheme="minorEastAsia" w:cstheme="minorEastAsia"/>
                <w:color w:val="auto"/>
                <w:szCs w:val="22"/>
                <w:highlight w:val="none"/>
              </w:rPr>
            </w:pPr>
          </w:p>
        </w:tc>
        <w:tc>
          <w:tcPr>
            <w:tcW w:w="1510" w:type="dxa"/>
            <w:vMerge w:val="continue"/>
            <w:vAlign w:val="center"/>
          </w:tcPr>
          <w:p>
            <w:pPr>
              <w:jc w:val="center"/>
              <w:rPr>
                <w:rFonts w:asciiTheme="minorEastAsia" w:hAnsiTheme="minorEastAsia" w:eastAsiaTheme="minorEastAsia" w:cstheme="minorEastAsia"/>
                <w:color w:val="auto"/>
                <w:szCs w:val="22"/>
                <w:highlight w:val="none"/>
              </w:rPr>
            </w:pP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10</w:t>
            </w:r>
          </w:p>
        </w:tc>
        <w:tc>
          <w:tcPr>
            <w:tcW w:w="5151" w:type="dxa"/>
            <w:vAlign w:val="center"/>
          </w:tcPr>
          <w:p>
            <w:pP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10台监控设备：把摄像头的网线接口拔掉，从墙上把摄像头卸下来，一起包装。</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29</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空调</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6</w:t>
            </w:r>
          </w:p>
        </w:tc>
        <w:tc>
          <w:tcPr>
            <w:tcW w:w="5151" w:type="dxa"/>
            <w:vAlign w:val="center"/>
          </w:tcPr>
          <w:p>
            <w:pP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空调拆卸、包装等。</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7"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 w:val="22"/>
                <w:szCs w:val="22"/>
                <w:highlight w:val="none"/>
              </w:rPr>
              <w:t>30</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安装教练员站与监控设备</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w:t>
            </w:r>
          </w:p>
        </w:tc>
        <w:tc>
          <w:tcPr>
            <w:tcW w:w="5151" w:type="dxa"/>
            <w:vAlign w:val="center"/>
          </w:tcPr>
          <w:p>
            <w:pPr>
              <w:rPr>
                <w:rFonts w:asciiTheme="minorEastAsia" w:hAnsiTheme="minorEastAsia" w:eastAsiaTheme="minorEastAsia" w:cstheme="minorEastAsia"/>
                <w:color w:val="auto"/>
                <w:szCs w:val="22"/>
                <w:highlight w:val="none"/>
              </w:rPr>
            </w:pPr>
            <w:r>
              <w:rPr>
                <w:rFonts w:hint="eastAsia" w:ascii="宋体" w:hAnsi="宋体" w:cs="宋体"/>
                <w:color w:val="auto"/>
                <w:kern w:val="0"/>
                <w:szCs w:val="21"/>
                <w:highlight w:val="none"/>
                <w:lang w:bidi="ar"/>
              </w:rPr>
              <w:t>●</w:t>
            </w:r>
            <w:r>
              <w:rPr>
                <w:rFonts w:hint="eastAsia" w:ascii="宋体" w:hAnsi="宋体" w:cs="宋体"/>
                <w:color w:val="auto"/>
                <w:kern w:val="0"/>
                <w:szCs w:val="21"/>
                <w:highlight w:val="none"/>
                <w:lang w:val="en-US" w:eastAsia="zh-CN" w:bidi="ar"/>
              </w:rPr>
              <w:t xml:space="preserve"> </w:t>
            </w:r>
            <w:r>
              <w:rPr>
                <w:rFonts w:hint="eastAsia" w:asciiTheme="minorEastAsia" w:hAnsiTheme="minorEastAsia" w:eastAsiaTheme="minorEastAsia" w:cstheme="minorEastAsia"/>
                <w:color w:val="auto"/>
                <w:szCs w:val="22"/>
                <w:highlight w:val="none"/>
              </w:rPr>
              <w:t>安装教练员站工作台：给所有教练站设备按照线路编号走线排序；教练站桌所有板材按照编号组装，上紧螺丝。</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安装教练员站计算机:把教练员站电脑按照标签放在指定位置，安装电源线和信号线插上网线；开机测试电脑正常运行。</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安装教练员站显示器：把教练员站的显示器按照标签放在指定位置，安装电源线和信号线，开机测试显示器画面运行情况。</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安装教练员站交换机：把所有的学生端的网线端口处编号，贴好各个计算机名称，插在交换机的信号接受处。</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安装教练员站打印机：把打印机的电源线和信号线连接到电脑上，按照说明启动打印机，让打印机与电脑连接成功可以打印材料。</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安装教练员站电话：把本船和其他副本船的电话线按照编号插在教练员站的电话上，之后按照电话上的号码给其他本船拨打电话测试通话效果，测试完成后把电话固定安装在教练员站工作台上。</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安装教练员站VHF：安装VHF到教练员站的工作台上，插上电源线后呼叫其他本船测试VHF通话效果。</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安装教练员站攻放：安装攻放电源和声音信号线，打开电脑的声音设置测试功放的立体环绕声音。</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安装摄像头：在教练员站房间和其他本船房间选取合适位置安装摄像头。</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布摄像头信号传输线：在教练站和其他本船的摄像头下面布置摄像头的信号传输线，最后都汇总在教练站的监控计算机下。</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安装监控显示器：在教练站的墙上选择安装电源线和信号线，开机测试显示器画面运行情况。</w:t>
            </w:r>
          </w:p>
        </w:tc>
        <w:tc>
          <w:tcPr>
            <w:tcW w:w="1494" w:type="dxa"/>
            <w:vMerge w:val="restart"/>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6"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 w:val="22"/>
                <w:szCs w:val="22"/>
                <w:highlight w:val="none"/>
              </w:rPr>
              <w:t>31</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安装船舶操纵控制台</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4</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安装控制台：控制台台体安装编号摆放，各个台体之间用螺丝上紧固定位置。</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安装计算机：把计算机按照贴好的标签号码，放置到该号码的控制台里面，插上电源线和信号线，开机测试电脑运行情况。</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安装显示器：把显示器按照贴好的标签号码，放置到该号码的控制台里面，插上电源线和信号线，开机测试显示器画面情况。</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安装控制单元：把控制单元连接到计算机上面，打开计算机，操作控制单元测试控制单元。</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7"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 w:val="22"/>
                <w:szCs w:val="22"/>
                <w:highlight w:val="none"/>
              </w:rPr>
              <w:t>32</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安装大型操纵控制台</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w:t>
            </w:r>
          </w:p>
        </w:tc>
        <w:tc>
          <w:tcPr>
            <w:tcW w:w="5151" w:type="dxa"/>
            <w:vAlign w:val="center"/>
          </w:tcPr>
          <w:p>
            <w:pPr>
              <w:rPr>
                <w:rFonts w:asciiTheme="minorEastAsia" w:hAnsiTheme="minorEastAsia" w:eastAsiaTheme="minorEastAsia" w:cstheme="minorEastAsia"/>
                <w:color w:val="auto"/>
                <w:szCs w:val="22"/>
                <w:highlight w:val="none"/>
              </w:rPr>
            </w:pPr>
            <w:r>
              <w:rPr>
                <w:rFonts w:hint="eastAsia" w:ascii="宋体" w:hAnsi="宋体" w:cs="宋体"/>
                <w:color w:val="auto"/>
                <w:kern w:val="0"/>
                <w:szCs w:val="21"/>
                <w:highlight w:val="none"/>
                <w:lang w:bidi="ar"/>
              </w:rPr>
              <w:t>●</w:t>
            </w:r>
            <w:r>
              <w:rPr>
                <w:rFonts w:hint="eastAsia" w:ascii="宋体" w:hAnsi="宋体" w:cs="宋体"/>
                <w:color w:val="auto"/>
                <w:kern w:val="0"/>
                <w:szCs w:val="21"/>
                <w:highlight w:val="none"/>
                <w:lang w:val="en-US" w:eastAsia="zh-CN" w:bidi="ar"/>
              </w:rPr>
              <w:t xml:space="preserve"> </w:t>
            </w:r>
            <w:r>
              <w:rPr>
                <w:rFonts w:hint="eastAsia" w:asciiTheme="minorEastAsia" w:hAnsiTheme="minorEastAsia" w:eastAsiaTheme="minorEastAsia" w:cstheme="minorEastAsia"/>
                <w:color w:val="auto"/>
                <w:szCs w:val="22"/>
                <w:highlight w:val="none"/>
              </w:rPr>
              <w:t>安装控制台：控制台台体安装编号摆放，各个台体之间用螺丝上紧固定位置。</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安装触摸屏：首先把触摸屏的电源信号线编号后与触摸屏一一对应，安装到一起，之后把触摸屏按照横竖屏安装到控制台里面，安装完成后通电通信号，检查触摸屏画面是否正确。</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安装车钟：首先把车钟的电源线和信号线分别安装到控制板和电箱上，之后把车钟安装到控制台。打开测试软件测试车钟给速度效果。</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安装舵轮：首先把舵轮的电源线和信号线分别安装到控制板和电箱处，之后把舵轮安装到控制台上。打开测试软件测试舵轮给舵效果。</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安装罗经：首先把罗经的电源线和信号线分别安装控制板和电箱处，之后把罗经安装控制台处。</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安装侧推器：首先把侧推器的电源线和信号线分别安装到控制板和电箱处，之后把侧推器安装到控制台上。打开测试软件测试侧推器侧推效果。</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安装全回转：首先把全回转的电源线和信号线分别安装控制板和电箱处拆卸下来，之后把全回转安装到控制台上，打开测试软件测试全回转转舵效果。</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安装计算机：把计算机按照贴好的标签号码，放置到该号码的控制台里面，插上电源线和信号线，开机测试电脑运行情况。</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安装显示器：把显示器按照贴好的标签号码，放置到该号码的控制台里面，插上电源线和信号线，开机测试显示器画面情况。</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安装抬头显示器：把显示器按照贴好的标签号码，放置到该号码的控制台里面，插上电源线和信号线，开机测试显示器画面情况。</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8"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 w:val="22"/>
                <w:szCs w:val="22"/>
                <w:highlight w:val="none"/>
              </w:rPr>
              <w:t>33</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安装角控制台</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2</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安装控制台：控制台台体安装编号摆放，各个台体之间用螺丝上紧固定位置。</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安装GPS：把GPS的天线安装到GPS上面，之后把GPS输入信号线安装到转换机中最后把GPS安装到控制台上。</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安装VHF：把VHF对讲机的支架，VHF设备安装到控制台上。</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安装通信设备：把通信设备安装到控制台上。</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2"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 w:val="22"/>
                <w:szCs w:val="22"/>
                <w:highlight w:val="none"/>
              </w:rPr>
              <w:t>34</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安装投影仪</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5</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安装投影仪高清线：按照投影仪高清线编号以及米数安装在投影仪上面。</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安装投影仪架子：把投影仪架子安装到墙上并用螺丝固定。</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安装投影仪：把投影仪按照编号安装到架子，并且把投影仪镜头单独安装好。</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4"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 w:val="22"/>
                <w:szCs w:val="22"/>
                <w:highlight w:val="none"/>
              </w:rPr>
              <w:t>35</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船舶操纵控制台</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16</w:t>
            </w:r>
          </w:p>
        </w:tc>
        <w:tc>
          <w:tcPr>
            <w:tcW w:w="5151" w:type="dxa"/>
            <w:vAlign w:val="center"/>
          </w:tcPr>
          <w:p>
            <w:pPr>
              <w:rPr>
                <w:rFonts w:asciiTheme="minorEastAsia" w:hAnsiTheme="minorEastAsia" w:eastAsiaTheme="minorEastAsia" w:cstheme="minorEastAsia"/>
                <w:color w:val="auto"/>
                <w:szCs w:val="22"/>
                <w:highlight w:val="none"/>
              </w:rPr>
            </w:pPr>
            <w:r>
              <w:rPr>
                <w:rFonts w:hint="eastAsia" w:ascii="宋体" w:hAnsi="宋体" w:cs="宋体"/>
                <w:color w:val="auto"/>
                <w:kern w:val="0"/>
                <w:szCs w:val="21"/>
                <w:highlight w:val="none"/>
                <w:lang w:bidi="ar"/>
              </w:rPr>
              <w:t>●</w:t>
            </w:r>
            <w:r>
              <w:rPr>
                <w:rFonts w:hint="eastAsia" w:ascii="宋体" w:hAnsi="宋体" w:cs="宋体"/>
                <w:color w:val="auto"/>
                <w:kern w:val="0"/>
                <w:szCs w:val="21"/>
                <w:highlight w:val="none"/>
                <w:lang w:val="en-US" w:eastAsia="zh-CN" w:bidi="ar"/>
              </w:rPr>
              <w:t xml:space="preserve"> </w:t>
            </w:r>
            <w:r>
              <w:rPr>
                <w:rFonts w:hint="eastAsia" w:asciiTheme="minorEastAsia" w:hAnsiTheme="minorEastAsia" w:eastAsiaTheme="minorEastAsia" w:cstheme="minorEastAsia"/>
                <w:color w:val="auto"/>
                <w:szCs w:val="22"/>
                <w:highlight w:val="none"/>
              </w:rPr>
              <w:t>安装控制台：控制台台体安装编号摆放，各个台体之间用螺丝上紧固定位置。</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安装计算机：把计算机按照贴好的标签号码，放置到该号码的控制台里面，插上电源线和信号线，开机测试电脑运行情况。</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安装显示器：把显示器按照贴好的标签号码，放置到该号码的控制台里面，插上电源线和信号线，开机测试显示器画面情况。</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安装控制单元：把控制单元连接到计算机上面，打开计算机，操作控制单元测试控制单元。</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1"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 w:val="22"/>
                <w:szCs w:val="22"/>
                <w:highlight w:val="none"/>
              </w:rPr>
              <w:t>36</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大型操作控制台</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4</w:t>
            </w:r>
          </w:p>
        </w:tc>
        <w:tc>
          <w:tcPr>
            <w:tcW w:w="5151" w:type="dxa"/>
            <w:vAlign w:val="center"/>
          </w:tcPr>
          <w:p>
            <w:pPr>
              <w:rPr>
                <w:rFonts w:asciiTheme="minorEastAsia" w:hAnsiTheme="minorEastAsia" w:eastAsiaTheme="minorEastAsia" w:cstheme="minorEastAsia"/>
                <w:color w:val="auto"/>
                <w:szCs w:val="22"/>
                <w:highlight w:val="none"/>
              </w:rPr>
            </w:pPr>
            <w:r>
              <w:rPr>
                <w:rFonts w:hint="eastAsia" w:ascii="宋体" w:hAnsi="宋体" w:cs="宋体"/>
                <w:color w:val="auto"/>
                <w:kern w:val="0"/>
                <w:szCs w:val="21"/>
                <w:highlight w:val="none"/>
                <w:lang w:bidi="ar"/>
              </w:rPr>
              <w:t>●</w:t>
            </w:r>
            <w:r>
              <w:rPr>
                <w:rFonts w:hint="eastAsia" w:ascii="宋体" w:hAnsi="宋体" w:cs="宋体"/>
                <w:color w:val="auto"/>
                <w:kern w:val="0"/>
                <w:szCs w:val="21"/>
                <w:highlight w:val="none"/>
                <w:lang w:val="en-US" w:eastAsia="zh-CN" w:bidi="ar"/>
              </w:rPr>
              <w:t xml:space="preserve"> </w:t>
            </w:r>
            <w:r>
              <w:rPr>
                <w:rFonts w:hint="eastAsia" w:asciiTheme="minorEastAsia" w:hAnsiTheme="minorEastAsia" w:eastAsiaTheme="minorEastAsia" w:cstheme="minorEastAsia"/>
                <w:color w:val="auto"/>
                <w:szCs w:val="22"/>
                <w:highlight w:val="none"/>
              </w:rPr>
              <w:t>安装控制台：控制台台体安装编号摆放，各个台体之间用螺丝上紧固定位置。</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安装触摸屏：首先把触摸屏的电源信号线编号后与触摸屏一一对应，安装到一起，之后把触摸屏按照横竖屏安装到控制台里面，安装完成后通电通信号，检查触摸屏画面是否正确。</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安装车钟：首先把车钟的电源线和信号线分别安装到控制板和电箱上，之后把车钟安装到控制台。打开测试软件测试车钟给速度效果。</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安装舵轮：首先把舵轮的电源线和信号线分别安装到控制板和电箱处，之后把舵轮安装到控制台上。打开测试软件测试舵轮给舵效果。</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安装罗经：首先把罗经的电源线和信号线分别安装控制板和电箱处，之后把罗经安装控制台处。</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安装侧推器：首先把侧推器的电源线和信号线分别安装到控制板和电箱处，之后把侧推器安装到控制台上。打开测试软件测试侧推器侧推效果。</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安装计算机：把计算机按照贴好的标签号码，放置到该号码的控制台里面，插上电源线和信号线，开机测试电脑运行情况。</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安装显示器：把显示器按照贴好的标签号码，放置到该号码的控制台里面，插上电源线和信号线，开机测试显示器画面情况。</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安装抬头显示器：把显示器按照贴好的标签号码，放置到该号码的控制台里面，插上电源线和信号线，开机测试显示器画面情况。</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7"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 w:val="22"/>
                <w:szCs w:val="22"/>
                <w:highlight w:val="none"/>
              </w:rPr>
              <w:t>37</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角控制台</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4</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安装控制台：控制台台体安装编号摆放，各个台体之间用螺丝上紧固定位置。</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安装GPS：把GPS的天线安装到GPS上面，之后把GPS输入信号线安装到转换机中最后把GPS安装到控制台上。</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安装VHF：把VHF对讲机的支架，VHF设备安装到控制台上。</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安装通信设备：把通信设备安装到控制台上。</w:t>
            </w:r>
          </w:p>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安装电话：首先把电话的网线插到电话，之后按照电话上的号码给其他本船拨打电话测试通话效果，测试完成后把电话固定安装在教练员站工作台上。</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812" w:type="dxa"/>
            <w:vMerge w:val="restart"/>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38</w:t>
            </w:r>
          </w:p>
        </w:tc>
        <w:tc>
          <w:tcPr>
            <w:tcW w:w="1510" w:type="dxa"/>
            <w:vMerge w:val="restart"/>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视景电视及电视架</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12</w:t>
            </w:r>
          </w:p>
        </w:tc>
        <w:tc>
          <w:tcPr>
            <w:tcW w:w="5151" w:type="dxa"/>
            <w:vAlign w:val="center"/>
          </w:tcPr>
          <w:p>
            <w:pP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安装电视架：把电视架按照支架，底座，托盘等单独零件按照相应的位置一一组装起来。</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812" w:type="dxa"/>
            <w:vMerge w:val="continue"/>
            <w:vAlign w:val="center"/>
          </w:tcPr>
          <w:p>
            <w:pPr>
              <w:jc w:val="center"/>
              <w:rPr>
                <w:rFonts w:asciiTheme="minorEastAsia" w:hAnsiTheme="minorEastAsia" w:eastAsiaTheme="minorEastAsia" w:cstheme="minorEastAsia"/>
                <w:color w:val="auto"/>
                <w:szCs w:val="22"/>
                <w:highlight w:val="none"/>
              </w:rPr>
            </w:pPr>
          </w:p>
        </w:tc>
        <w:tc>
          <w:tcPr>
            <w:tcW w:w="1510" w:type="dxa"/>
            <w:vMerge w:val="continue"/>
            <w:vAlign w:val="center"/>
          </w:tcPr>
          <w:p>
            <w:pPr>
              <w:jc w:val="center"/>
              <w:rPr>
                <w:rFonts w:asciiTheme="minorEastAsia" w:hAnsiTheme="minorEastAsia" w:eastAsiaTheme="minorEastAsia" w:cstheme="minorEastAsia"/>
                <w:color w:val="auto"/>
                <w:szCs w:val="22"/>
                <w:highlight w:val="none"/>
              </w:rPr>
            </w:pP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12</w:t>
            </w:r>
          </w:p>
        </w:tc>
        <w:tc>
          <w:tcPr>
            <w:tcW w:w="5151" w:type="dxa"/>
            <w:vAlign w:val="center"/>
          </w:tcPr>
          <w:p>
            <w:pP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安装电视：首先把电视安装通道位置编号放置到指定位置，之后把电视的电源线的高清线连接，打开电视测试电视画面情况。</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812" w:type="dxa"/>
            <w:vMerge w:val="continue"/>
            <w:vAlign w:val="center"/>
          </w:tcPr>
          <w:p>
            <w:pPr>
              <w:jc w:val="center"/>
              <w:rPr>
                <w:rFonts w:asciiTheme="minorEastAsia" w:hAnsiTheme="minorEastAsia" w:eastAsiaTheme="minorEastAsia" w:cstheme="minorEastAsia"/>
                <w:color w:val="auto"/>
                <w:szCs w:val="22"/>
                <w:highlight w:val="none"/>
              </w:rPr>
            </w:pPr>
          </w:p>
        </w:tc>
        <w:tc>
          <w:tcPr>
            <w:tcW w:w="1510" w:type="dxa"/>
            <w:vMerge w:val="continue"/>
            <w:vAlign w:val="center"/>
          </w:tcPr>
          <w:p>
            <w:pPr>
              <w:jc w:val="center"/>
              <w:rPr>
                <w:rFonts w:asciiTheme="minorEastAsia" w:hAnsiTheme="minorEastAsia" w:eastAsiaTheme="minorEastAsia" w:cstheme="minorEastAsia"/>
                <w:color w:val="auto"/>
                <w:szCs w:val="22"/>
                <w:highlight w:val="none"/>
              </w:rPr>
            </w:pP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12</w:t>
            </w:r>
          </w:p>
        </w:tc>
        <w:tc>
          <w:tcPr>
            <w:tcW w:w="5151" w:type="dxa"/>
            <w:vAlign w:val="center"/>
          </w:tcPr>
          <w:p>
            <w:pP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安装2视景计算机:把电脑按照贴好标签放置到指定的机柜里面，把电脑后面的电子狗插上，在电脑上插上电源线和信号线，打开电脑测试电脑运行。</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812" w:type="dxa"/>
            <w:vMerge w:val="continue"/>
            <w:vAlign w:val="center"/>
          </w:tcPr>
          <w:p>
            <w:pPr>
              <w:jc w:val="center"/>
              <w:rPr>
                <w:rFonts w:asciiTheme="minorEastAsia" w:hAnsiTheme="minorEastAsia" w:eastAsiaTheme="minorEastAsia" w:cstheme="minorEastAsia"/>
                <w:color w:val="auto"/>
                <w:szCs w:val="22"/>
                <w:highlight w:val="none"/>
              </w:rPr>
            </w:pPr>
          </w:p>
        </w:tc>
        <w:tc>
          <w:tcPr>
            <w:tcW w:w="1510" w:type="dxa"/>
            <w:vMerge w:val="continue"/>
            <w:vAlign w:val="center"/>
          </w:tcPr>
          <w:p>
            <w:pPr>
              <w:jc w:val="center"/>
              <w:rPr>
                <w:rFonts w:asciiTheme="minorEastAsia" w:hAnsiTheme="minorEastAsia" w:eastAsiaTheme="minorEastAsia" w:cstheme="minorEastAsia"/>
                <w:color w:val="auto"/>
                <w:szCs w:val="22"/>
                <w:highlight w:val="none"/>
              </w:rPr>
            </w:pP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12</w:t>
            </w:r>
          </w:p>
        </w:tc>
        <w:tc>
          <w:tcPr>
            <w:tcW w:w="5151" w:type="dxa"/>
            <w:vAlign w:val="center"/>
          </w:tcPr>
          <w:p>
            <w:pP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安装2控制台计算机：把电脑按照贴好标签放置到指定的机柜里面，把电脑后面的电子狗插上，在电脑上插上电源线和信号线，打开电脑测试电脑运行。</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12" w:type="dxa"/>
            <w:vMerge w:val="continue"/>
            <w:vAlign w:val="center"/>
          </w:tcPr>
          <w:p>
            <w:pPr>
              <w:jc w:val="center"/>
              <w:rPr>
                <w:rFonts w:asciiTheme="minorEastAsia" w:hAnsiTheme="minorEastAsia" w:eastAsiaTheme="minorEastAsia" w:cstheme="minorEastAsia"/>
                <w:color w:val="auto"/>
                <w:szCs w:val="22"/>
                <w:highlight w:val="none"/>
              </w:rPr>
            </w:pPr>
          </w:p>
        </w:tc>
        <w:tc>
          <w:tcPr>
            <w:tcW w:w="1510" w:type="dxa"/>
            <w:vMerge w:val="continue"/>
            <w:vAlign w:val="center"/>
          </w:tcPr>
          <w:p>
            <w:pPr>
              <w:jc w:val="center"/>
              <w:rPr>
                <w:rFonts w:asciiTheme="minorEastAsia" w:hAnsiTheme="minorEastAsia" w:eastAsiaTheme="minorEastAsia" w:cstheme="minorEastAsia"/>
                <w:color w:val="auto"/>
                <w:szCs w:val="22"/>
                <w:highlight w:val="none"/>
              </w:rPr>
            </w:pP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4</w:t>
            </w:r>
          </w:p>
        </w:tc>
        <w:tc>
          <w:tcPr>
            <w:tcW w:w="5151" w:type="dxa"/>
            <w:vAlign w:val="center"/>
          </w:tcPr>
          <w:p>
            <w:pP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视景机柜：把机柜安装到指定位置，把视景计算机放置到机柜里面。</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812" w:type="dxa"/>
            <w:vMerge w:val="continue"/>
            <w:vAlign w:val="center"/>
          </w:tcPr>
          <w:p>
            <w:pPr>
              <w:jc w:val="center"/>
              <w:rPr>
                <w:rFonts w:asciiTheme="minorEastAsia" w:hAnsiTheme="minorEastAsia" w:eastAsiaTheme="minorEastAsia" w:cstheme="minorEastAsia"/>
                <w:color w:val="auto"/>
                <w:szCs w:val="22"/>
                <w:highlight w:val="none"/>
              </w:rPr>
            </w:pPr>
          </w:p>
        </w:tc>
        <w:tc>
          <w:tcPr>
            <w:tcW w:w="1510" w:type="dxa"/>
            <w:vMerge w:val="continue"/>
            <w:vAlign w:val="center"/>
          </w:tcPr>
          <w:p>
            <w:pPr>
              <w:jc w:val="center"/>
              <w:rPr>
                <w:rFonts w:asciiTheme="minorEastAsia" w:hAnsiTheme="minorEastAsia" w:eastAsiaTheme="minorEastAsia" w:cstheme="minorEastAsia"/>
                <w:color w:val="auto"/>
                <w:szCs w:val="22"/>
                <w:highlight w:val="none"/>
              </w:rPr>
            </w:pP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10</w:t>
            </w:r>
          </w:p>
        </w:tc>
        <w:tc>
          <w:tcPr>
            <w:tcW w:w="5151" w:type="dxa"/>
            <w:vAlign w:val="center"/>
          </w:tcPr>
          <w:p>
            <w:pP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 xml:space="preserve">监控设备：把摄像头安装到本船所在房间的指定位置，布置摄像网线，连接网线和电源线，打开摄像头测设摄像头画面情况。                                   </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 w:val="22"/>
                <w:szCs w:val="22"/>
                <w:highlight w:val="none"/>
              </w:rPr>
              <w:t>39</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空调</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5</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空调安装、打孔、加冰种、支架固定等。</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812"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 w:val="22"/>
                <w:szCs w:val="22"/>
                <w:highlight w:val="none"/>
              </w:rPr>
              <w:t>40</w:t>
            </w:r>
          </w:p>
        </w:tc>
        <w:tc>
          <w:tcPr>
            <w:tcW w:w="1510"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辅材</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8</w:t>
            </w:r>
          </w:p>
        </w:tc>
        <w:tc>
          <w:tcPr>
            <w:tcW w:w="5151" w:type="dxa"/>
            <w:vAlign w:val="center"/>
          </w:tcPr>
          <w:p>
            <w:pPr>
              <w:ind w:firstLine="420" w:firstLineChars="200"/>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网线、视频线、电线、PVC管、扎带等安装辅助材料，包含1主本船、4副本船、3台操舵仪。</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12" w:type="dxa"/>
            <w:vMerge w:val="restart"/>
            <w:vAlign w:val="center"/>
          </w:tcPr>
          <w:p>
            <w:pPr>
              <w:jc w:val="center"/>
              <w:rPr>
                <w:rFonts w:asciiTheme="minorEastAsia" w:hAnsiTheme="minorEastAsia" w:eastAsiaTheme="minorEastAsia" w:cstheme="minorEastAsia"/>
                <w:color w:val="auto"/>
                <w:szCs w:val="22"/>
                <w:highlight w:val="none"/>
              </w:rPr>
            </w:pPr>
            <w:r>
              <w:rPr>
                <w:rFonts w:hint="eastAsia" w:ascii="宋体" w:hAnsi="宋体" w:cs="宋体"/>
                <w:color w:val="auto"/>
                <w:sz w:val="24"/>
                <w:szCs w:val="24"/>
                <w:highlight w:val="none"/>
                <w:lang w:eastAsia="zh-CN"/>
              </w:rPr>
              <w:t>■</w:t>
            </w:r>
            <w:r>
              <w:rPr>
                <w:rFonts w:hint="eastAsia" w:asciiTheme="minorEastAsia" w:hAnsiTheme="minorEastAsia" w:eastAsiaTheme="minorEastAsia" w:cstheme="minorEastAsia"/>
                <w:color w:val="auto"/>
                <w:szCs w:val="22"/>
                <w:highlight w:val="none"/>
              </w:rPr>
              <w:t>41</w:t>
            </w:r>
          </w:p>
        </w:tc>
        <w:tc>
          <w:tcPr>
            <w:tcW w:w="1510" w:type="dxa"/>
            <w:vMerge w:val="restart"/>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180度模拟舱搭建</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w:t>
            </w:r>
          </w:p>
        </w:tc>
        <w:tc>
          <w:tcPr>
            <w:tcW w:w="5151" w:type="dxa"/>
            <w:vAlign w:val="center"/>
          </w:tcPr>
          <w:p>
            <w:pPr>
              <w:rPr>
                <w:rFonts w:asciiTheme="minorEastAsia" w:hAnsiTheme="minorEastAsia" w:eastAsiaTheme="minorEastAsia" w:cstheme="minorEastAsia"/>
                <w:color w:val="auto"/>
                <w:szCs w:val="22"/>
                <w:highlight w:val="none"/>
              </w:rPr>
            </w:pPr>
            <w:r>
              <w:rPr>
                <w:rFonts w:hint="eastAsia" w:ascii="宋体" w:hAnsi="宋体" w:cs="宋体"/>
                <w:color w:val="auto"/>
                <w:kern w:val="0"/>
                <w:szCs w:val="21"/>
                <w:highlight w:val="none"/>
                <w:lang w:bidi="ar"/>
              </w:rPr>
              <w:t>●</w:t>
            </w:r>
            <w:r>
              <w:rPr>
                <w:rFonts w:hint="eastAsia" w:asciiTheme="minorEastAsia" w:hAnsiTheme="minorEastAsia" w:eastAsiaTheme="minorEastAsia" w:cstheme="minorEastAsia"/>
                <w:b/>
                <w:bCs/>
                <w:color w:val="auto"/>
                <w:szCs w:val="22"/>
                <w:highlight w:val="none"/>
              </w:rPr>
              <w:t>场地设计制图，根据现有场地情况合理设计模拟器的布局图，同时根据模拟器实际尺寸给出整体效果图和单条本船模拟器的效果图。</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9" w:hRule="atLeast"/>
          <w:jc w:val="center"/>
        </w:trPr>
        <w:tc>
          <w:tcPr>
            <w:tcW w:w="812" w:type="dxa"/>
            <w:vMerge w:val="continue"/>
            <w:vAlign w:val="center"/>
          </w:tcPr>
          <w:p>
            <w:pPr>
              <w:jc w:val="center"/>
              <w:rPr>
                <w:rFonts w:asciiTheme="minorEastAsia" w:hAnsiTheme="minorEastAsia" w:eastAsiaTheme="minorEastAsia" w:cstheme="minorEastAsia"/>
                <w:color w:val="auto"/>
                <w:szCs w:val="22"/>
                <w:highlight w:val="none"/>
              </w:rPr>
            </w:pPr>
          </w:p>
        </w:tc>
        <w:tc>
          <w:tcPr>
            <w:tcW w:w="1510" w:type="dxa"/>
            <w:vMerge w:val="continue"/>
            <w:vAlign w:val="center"/>
          </w:tcPr>
          <w:p>
            <w:pPr>
              <w:jc w:val="center"/>
              <w:rPr>
                <w:rFonts w:asciiTheme="minorEastAsia" w:hAnsiTheme="minorEastAsia" w:eastAsiaTheme="minorEastAsia" w:cstheme="minorEastAsia"/>
                <w:color w:val="auto"/>
                <w:szCs w:val="22"/>
                <w:highlight w:val="none"/>
              </w:rPr>
            </w:pP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w:t>
            </w:r>
          </w:p>
        </w:tc>
        <w:tc>
          <w:tcPr>
            <w:tcW w:w="5151" w:type="dxa"/>
            <w:vAlign w:val="center"/>
          </w:tcPr>
          <w:p>
            <w:pPr>
              <w:rPr>
                <w:rFonts w:asciiTheme="minorEastAsia" w:hAnsiTheme="minorEastAsia" w:eastAsiaTheme="minorEastAsia" w:cstheme="minorEastAsia"/>
                <w:color w:val="auto"/>
                <w:szCs w:val="22"/>
                <w:highlight w:val="none"/>
              </w:rPr>
            </w:pPr>
            <w:r>
              <w:rPr>
                <w:rFonts w:hint="eastAsia" w:ascii="宋体" w:hAnsi="宋体" w:cs="宋体"/>
                <w:color w:val="auto"/>
                <w:kern w:val="0"/>
                <w:szCs w:val="21"/>
                <w:highlight w:val="none"/>
                <w:lang w:bidi="ar"/>
              </w:rPr>
              <w:t>●</w:t>
            </w:r>
            <w:r>
              <w:rPr>
                <w:rFonts w:hint="eastAsia" w:asciiTheme="minorEastAsia" w:hAnsiTheme="minorEastAsia" w:eastAsiaTheme="minorEastAsia" w:cstheme="minorEastAsia"/>
                <w:color w:val="auto"/>
                <w:szCs w:val="22"/>
                <w:highlight w:val="none"/>
              </w:rPr>
              <w:t>180度主本船投影墙，国标轻钢龙骨·防潮石膏板·椭圆弧工艺施工，屏幕骨架采用国标75mm*45mm*0.61mm 轻钢龙骨搭建，贴石膏板打腻子刮大白刷乳胶漆屏幕漆，半径≥5000mm。其制作要求：根据现场情况模拟出尺寸，角度，具有较高逼真性。材料使用： 钢结构框架、实木板、等环保材料组成。</w:t>
            </w:r>
          </w:p>
        </w:tc>
        <w:tc>
          <w:tcPr>
            <w:tcW w:w="1494" w:type="dxa"/>
            <w:vMerge w:val="continue"/>
            <w:vAlign w:val="center"/>
          </w:tcPr>
          <w:p>
            <w:pPr>
              <w:jc w:val="center"/>
              <w:rPr>
                <w:rFonts w:ascii="等线" w:hAnsi="等线" w:eastAsia="等线" w:cstheme="minorBid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9" w:hRule="atLeast"/>
          <w:jc w:val="center"/>
        </w:trPr>
        <w:tc>
          <w:tcPr>
            <w:tcW w:w="812" w:type="dxa"/>
            <w:vMerge w:val="continue"/>
            <w:vAlign w:val="center"/>
          </w:tcPr>
          <w:p>
            <w:pPr>
              <w:jc w:val="center"/>
              <w:rPr>
                <w:rFonts w:asciiTheme="minorEastAsia" w:hAnsiTheme="minorEastAsia" w:eastAsiaTheme="minorEastAsia" w:cstheme="minorEastAsia"/>
                <w:color w:val="auto"/>
                <w:szCs w:val="22"/>
                <w:highlight w:val="none"/>
              </w:rPr>
            </w:pPr>
          </w:p>
        </w:tc>
        <w:tc>
          <w:tcPr>
            <w:tcW w:w="1510" w:type="dxa"/>
            <w:vMerge w:val="continue"/>
            <w:vAlign w:val="center"/>
          </w:tcPr>
          <w:p>
            <w:pPr>
              <w:jc w:val="center"/>
              <w:rPr>
                <w:rFonts w:asciiTheme="minorEastAsia" w:hAnsiTheme="minorEastAsia" w:eastAsiaTheme="minorEastAsia" w:cstheme="minorEastAsia"/>
                <w:color w:val="auto"/>
                <w:szCs w:val="22"/>
                <w:highlight w:val="none"/>
              </w:rPr>
            </w:pP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w:t>
            </w:r>
          </w:p>
        </w:tc>
        <w:tc>
          <w:tcPr>
            <w:tcW w:w="5151" w:type="dxa"/>
            <w:vAlign w:val="center"/>
          </w:tcPr>
          <w:p>
            <w:pPr>
              <w:jc w:val="left"/>
              <w:rPr>
                <w:rFonts w:asciiTheme="minorEastAsia" w:hAnsiTheme="minorEastAsia" w:eastAsiaTheme="minorEastAsia" w:cstheme="minorEastAsia"/>
                <w:color w:val="auto"/>
                <w:szCs w:val="22"/>
                <w:highlight w:val="none"/>
              </w:rPr>
            </w:pPr>
            <w:r>
              <w:rPr>
                <w:rFonts w:hint="eastAsia" w:ascii="宋体" w:hAnsi="宋体" w:cs="宋体"/>
                <w:color w:val="auto"/>
                <w:kern w:val="0"/>
                <w:szCs w:val="21"/>
                <w:highlight w:val="none"/>
                <w:lang w:bidi="ar"/>
              </w:rPr>
              <w:t>●</w:t>
            </w:r>
            <w:r>
              <w:rPr>
                <w:rFonts w:hint="eastAsia" w:asciiTheme="minorEastAsia" w:hAnsiTheme="minorEastAsia" w:eastAsiaTheme="minorEastAsia" w:cstheme="minorEastAsia"/>
                <w:color w:val="auto"/>
                <w:szCs w:val="22"/>
                <w:highlight w:val="none"/>
              </w:rPr>
              <w:t>主本船模拟舱搭建，舱体钢架采用50m m*50mm*3mm Q235热镀锌方钢管；局部采用50mm*30mm*3mm Q235热镀锌方钢管；舱壁墙板采用标准18mm环保免漆板双面安装；包括300mmx300mm（4000k）照明系统，防滑静电地板600mmx600mmx30mmHDG.600.30.CQ.D上下钢板内填充发泡水泥上贴静电面层加导电胶条封边，舷窗，主本船驾驶舱的设计和施工需要根据场地情况、投影机吊高、投影机镜头参数及模拟驾驶舱尺寸做优化设 计，保证垂直视场角≥25 度，各投影通道间融合带≥1000mm。主本船模拟驾驶舱顶面不影响投影光路，投影光路从投影吊环位置可投射到距地 200mm 的屏幕上。驾驶舱的尺寸： 长：≥4000mm，宽：≥4000mm，高：≥2300mm。驾驶舱骨架采用 50mm*30mm*3mm 热镀锌方钢管方钢焊接搭建，骨架两侧贴1220mmx2440mmx15mm阻燃板，包括300mmx300mm（4000k）照明系统，15mm实木多层地板，舷窗等及综合布线。</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2" w:hRule="atLeast"/>
          <w:jc w:val="center"/>
        </w:trPr>
        <w:tc>
          <w:tcPr>
            <w:tcW w:w="812" w:type="dxa"/>
            <w:vMerge w:val="continue"/>
            <w:vAlign w:val="center"/>
          </w:tcPr>
          <w:p>
            <w:pPr>
              <w:jc w:val="center"/>
              <w:rPr>
                <w:rFonts w:asciiTheme="minorEastAsia" w:hAnsiTheme="minorEastAsia" w:eastAsiaTheme="minorEastAsia" w:cstheme="minorEastAsia"/>
                <w:color w:val="auto"/>
                <w:szCs w:val="22"/>
                <w:highlight w:val="none"/>
              </w:rPr>
            </w:pPr>
          </w:p>
        </w:tc>
        <w:tc>
          <w:tcPr>
            <w:tcW w:w="1510" w:type="dxa"/>
            <w:vMerge w:val="continue"/>
            <w:vAlign w:val="center"/>
          </w:tcPr>
          <w:p>
            <w:pPr>
              <w:jc w:val="center"/>
              <w:rPr>
                <w:rFonts w:asciiTheme="minorEastAsia" w:hAnsiTheme="minorEastAsia" w:eastAsiaTheme="minorEastAsia" w:cstheme="minorEastAsia"/>
                <w:color w:val="auto"/>
                <w:szCs w:val="22"/>
                <w:highlight w:val="none"/>
              </w:rPr>
            </w:pP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w:t>
            </w:r>
          </w:p>
        </w:tc>
        <w:tc>
          <w:tcPr>
            <w:tcW w:w="5151" w:type="dxa"/>
            <w:vAlign w:val="center"/>
          </w:tcPr>
          <w:p>
            <w:pP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航海模拟器房间吊顶及灯具，1.轻钢龙骨骨架，局部木龙骨骨架，阻燃板打底、外贴10mm防潮石膏板，自攻螺丝固定；2.按展开面积计算,灯槽另计；3.不足1㎡按1㎡算。4.木板材料做防白蚂蚁和吊顶区域。</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2" w:hRule="atLeast"/>
          <w:jc w:val="center"/>
        </w:trPr>
        <w:tc>
          <w:tcPr>
            <w:tcW w:w="812" w:type="dxa"/>
            <w:vMerge w:val="continue"/>
            <w:vAlign w:val="center"/>
          </w:tcPr>
          <w:p>
            <w:pPr>
              <w:jc w:val="center"/>
              <w:rPr>
                <w:rFonts w:asciiTheme="minorEastAsia" w:hAnsiTheme="minorEastAsia" w:eastAsiaTheme="minorEastAsia" w:cstheme="minorEastAsia"/>
                <w:color w:val="auto"/>
                <w:szCs w:val="22"/>
                <w:highlight w:val="none"/>
              </w:rPr>
            </w:pPr>
          </w:p>
        </w:tc>
        <w:tc>
          <w:tcPr>
            <w:tcW w:w="1510" w:type="dxa"/>
            <w:vMerge w:val="continue"/>
            <w:vAlign w:val="center"/>
          </w:tcPr>
          <w:p>
            <w:pPr>
              <w:jc w:val="center"/>
              <w:rPr>
                <w:rFonts w:asciiTheme="minorEastAsia" w:hAnsiTheme="minorEastAsia" w:eastAsiaTheme="minorEastAsia" w:cstheme="minorEastAsia"/>
                <w:color w:val="auto"/>
                <w:szCs w:val="22"/>
                <w:highlight w:val="none"/>
              </w:rPr>
            </w:pP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5</w:t>
            </w:r>
          </w:p>
        </w:tc>
        <w:tc>
          <w:tcPr>
            <w:tcW w:w="5151" w:type="dxa"/>
            <w:vAlign w:val="center"/>
          </w:tcPr>
          <w:p>
            <w:pPr>
              <w:rPr>
                <w:rFonts w:asciiTheme="minorEastAsia" w:hAnsiTheme="minorEastAsia" w:eastAsiaTheme="minorEastAsia" w:cstheme="minorEastAsia"/>
                <w:b/>
                <w:bCs/>
                <w:color w:val="auto"/>
                <w:szCs w:val="22"/>
                <w:highlight w:val="none"/>
              </w:rPr>
            </w:pPr>
            <w:r>
              <w:rPr>
                <w:rFonts w:hint="eastAsia" w:ascii="宋体" w:hAnsi="宋体" w:cs="宋体"/>
                <w:color w:val="auto"/>
                <w:kern w:val="0"/>
                <w:szCs w:val="21"/>
                <w:highlight w:val="none"/>
                <w:lang w:bidi="ar"/>
              </w:rPr>
              <w:t>●</w:t>
            </w:r>
            <w:r>
              <w:rPr>
                <w:rFonts w:hint="eastAsia" w:asciiTheme="minorEastAsia" w:hAnsiTheme="minorEastAsia" w:eastAsiaTheme="minorEastAsia" w:cstheme="minorEastAsia"/>
                <w:b/>
                <w:bCs/>
                <w:color w:val="auto"/>
                <w:szCs w:val="22"/>
                <w:highlight w:val="none"/>
              </w:rPr>
              <w:t>航海模拟器三维视景融合拼缝调试，投影幕形状为平柱幕，输入输出分辨率至少4k；颜色三色调整；基于显示内容的边缘融合；基于NURBS曲面几何校正控制点至少可达10*10，保证180度投影图像拼接无错位，画面饱和度一致。</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812" w:type="dxa"/>
            <w:vMerge w:val="restart"/>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42</w:t>
            </w:r>
          </w:p>
        </w:tc>
        <w:tc>
          <w:tcPr>
            <w:tcW w:w="1510" w:type="dxa"/>
            <w:vMerge w:val="restart"/>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调试</w:t>
            </w: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w:t>
            </w:r>
          </w:p>
        </w:tc>
        <w:tc>
          <w:tcPr>
            <w:tcW w:w="5151" w:type="dxa"/>
            <w:vAlign w:val="center"/>
          </w:tcPr>
          <w:p>
            <w:pPr>
              <w:rPr>
                <w:rFonts w:asciiTheme="minorEastAsia" w:hAnsiTheme="minorEastAsia" w:eastAsiaTheme="minorEastAsia" w:cstheme="minorEastAsia"/>
                <w:b/>
                <w:bCs/>
                <w:color w:val="auto"/>
                <w:szCs w:val="22"/>
                <w:highlight w:val="none"/>
              </w:rPr>
            </w:pPr>
            <w:r>
              <w:rPr>
                <w:rFonts w:hint="eastAsia" w:ascii="宋体" w:hAnsi="宋体" w:cs="宋体"/>
                <w:color w:val="auto"/>
                <w:kern w:val="0"/>
                <w:szCs w:val="21"/>
                <w:highlight w:val="none"/>
                <w:lang w:bidi="ar"/>
              </w:rPr>
              <w:t>●</w:t>
            </w:r>
            <w:r>
              <w:rPr>
                <w:rFonts w:hint="eastAsia" w:asciiTheme="minorEastAsia" w:hAnsiTheme="minorEastAsia" w:eastAsiaTheme="minorEastAsia" w:cstheme="minorEastAsia"/>
                <w:b/>
                <w:bCs/>
                <w:color w:val="auto"/>
                <w:szCs w:val="22"/>
                <w:highlight w:val="none"/>
              </w:rPr>
              <w:t>主本船整套船舶操纵模拟器的系统统一调试，做到数据同步加载、设备同步运行；根据模拟器合同约定，对模拟器数据库进行免费升级，电子海图和雷达数据应与三维港口数据保持一致。</w:t>
            </w:r>
          </w:p>
        </w:tc>
        <w:tc>
          <w:tcPr>
            <w:tcW w:w="1494" w:type="dxa"/>
            <w:vMerge w:val="restart"/>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12" w:type="dxa"/>
            <w:vMerge w:val="continue"/>
            <w:vAlign w:val="center"/>
          </w:tcPr>
          <w:p>
            <w:pPr>
              <w:rPr>
                <w:rFonts w:asciiTheme="minorEastAsia" w:hAnsiTheme="minorEastAsia" w:eastAsiaTheme="minorEastAsia" w:cstheme="minorEastAsia"/>
                <w:color w:val="auto"/>
                <w:szCs w:val="22"/>
                <w:highlight w:val="none"/>
              </w:rPr>
            </w:pPr>
          </w:p>
        </w:tc>
        <w:tc>
          <w:tcPr>
            <w:tcW w:w="1510" w:type="dxa"/>
            <w:vMerge w:val="continue"/>
            <w:vAlign w:val="center"/>
          </w:tcPr>
          <w:p>
            <w:pPr>
              <w:jc w:val="center"/>
              <w:rPr>
                <w:rFonts w:asciiTheme="minorEastAsia" w:hAnsiTheme="minorEastAsia" w:eastAsiaTheme="minorEastAsia" w:cstheme="minorEastAsia"/>
                <w:color w:val="auto"/>
                <w:szCs w:val="22"/>
                <w:highlight w:val="none"/>
              </w:rPr>
            </w:pP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4</w:t>
            </w:r>
          </w:p>
        </w:tc>
        <w:tc>
          <w:tcPr>
            <w:tcW w:w="5151" w:type="dxa"/>
            <w:vAlign w:val="center"/>
          </w:tcPr>
          <w:p>
            <w:pP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副本船整套船舶操纵模拟器的系统统一调试，做到数据同步加载、设备同步运行。</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12" w:type="dxa"/>
            <w:vMerge w:val="continue"/>
            <w:vAlign w:val="center"/>
          </w:tcPr>
          <w:p>
            <w:pPr>
              <w:rPr>
                <w:rFonts w:asciiTheme="minorEastAsia" w:hAnsiTheme="minorEastAsia" w:eastAsiaTheme="minorEastAsia" w:cstheme="minorEastAsia"/>
                <w:color w:val="auto"/>
                <w:szCs w:val="22"/>
                <w:highlight w:val="none"/>
              </w:rPr>
            </w:pPr>
          </w:p>
        </w:tc>
        <w:tc>
          <w:tcPr>
            <w:tcW w:w="1510" w:type="dxa"/>
            <w:vMerge w:val="continue"/>
            <w:vAlign w:val="center"/>
          </w:tcPr>
          <w:p>
            <w:pPr>
              <w:jc w:val="center"/>
              <w:rPr>
                <w:rFonts w:asciiTheme="minorEastAsia" w:hAnsiTheme="minorEastAsia" w:eastAsiaTheme="minorEastAsia" w:cstheme="minorEastAsia"/>
                <w:color w:val="auto"/>
                <w:szCs w:val="22"/>
                <w:highlight w:val="none"/>
              </w:rPr>
            </w:pP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5</w:t>
            </w:r>
          </w:p>
        </w:tc>
        <w:tc>
          <w:tcPr>
            <w:tcW w:w="5151" w:type="dxa"/>
            <w:vAlign w:val="center"/>
          </w:tcPr>
          <w:p>
            <w:pP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雷达模块软件调试</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12" w:type="dxa"/>
            <w:vMerge w:val="continue"/>
            <w:vAlign w:val="center"/>
          </w:tcPr>
          <w:p>
            <w:pPr>
              <w:rPr>
                <w:rFonts w:asciiTheme="minorEastAsia" w:hAnsiTheme="minorEastAsia" w:eastAsiaTheme="minorEastAsia" w:cstheme="minorEastAsia"/>
                <w:color w:val="auto"/>
                <w:szCs w:val="22"/>
                <w:highlight w:val="none"/>
              </w:rPr>
            </w:pPr>
          </w:p>
        </w:tc>
        <w:tc>
          <w:tcPr>
            <w:tcW w:w="1510" w:type="dxa"/>
            <w:vMerge w:val="continue"/>
            <w:vAlign w:val="center"/>
          </w:tcPr>
          <w:p>
            <w:pPr>
              <w:jc w:val="center"/>
              <w:rPr>
                <w:rFonts w:asciiTheme="minorEastAsia" w:hAnsiTheme="minorEastAsia" w:eastAsiaTheme="minorEastAsia" w:cstheme="minorEastAsia"/>
                <w:color w:val="auto"/>
                <w:szCs w:val="22"/>
                <w:highlight w:val="none"/>
              </w:rPr>
            </w:pP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5</w:t>
            </w:r>
          </w:p>
        </w:tc>
        <w:tc>
          <w:tcPr>
            <w:tcW w:w="5151" w:type="dxa"/>
            <w:vAlign w:val="center"/>
          </w:tcPr>
          <w:p>
            <w:pP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GMDSS仿真模块软件调试</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12" w:type="dxa"/>
            <w:vMerge w:val="continue"/>
            <w:vAlign w:val="center"/>
          </w:tcPr>
          <w:p>
            <w:pPr>
              <w:rPr>
                <w:rFonts w:asciiTheme="minorEastAsia" w:hAnsiTheme="minorEastAsia" w:eastAsiaTheme="minorEastAsia" w:cstheme="minorEastAsia"/>
                <w:color w:val="auto"/>
                <w:szCs w:val="22"/>
                <w:highlight w:val="none"/>
              </w:rPr>
            </w:pPr>
          </w:p>
        </w:tc>
        <w:tc>
          <w:tcPr>
            <w:tcW w:w="1510" w:type="dxa"/>
            <w:vMerge w:val="continue"/>
            <w:vAlign w:val="center"/>
          </w:tcPr>
          <w:p>
            <w:pPr>
              <w:jc w:val="center"/>
              <w:rPr>
                <w:rFonts w:asciiTheme="minorEastAsia" w:hAnsiTheme="minorEastAsia" w:eastAsiaTheme="minorEastAsia" w:cstheme="minorEastAsia"/>
                <w:color w:val="auto"/>
                <w:szCs w:val="22"/>
                <w:highlight w:val="none"/>
              </w:rPr>
            </w:pP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5</w:t>
            </w:r>
          </w:p>
        </w:tc>
        <w:tc>
          <w:tcPr>
            <w:tcW w:w="5151" w:type="dxa"/>
            <w:vAlign w:val="center"/>
          </w:tcPr>
          <w:p>
            <w:pP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望远镜模块软件调试</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12" w:type="dxa"/>
            <w:vMerge w:val="continue"/>
            <w:vAlign w:val="center"/>
          </w:tcPr>
          <w:p>
            <w:pPr>
              <w:rPr>
                <w:rFonts w:asciiTheme="minorEastAsia" w:hAnsiTheme="minorEastAsia" w:eastAsiaTheme="minorEastAsia" w:cstheme="minorEastAsia"/>
                <w:color w:val="auto"/>
                <w:szCs w:val="22"/>
                <w:highlight w:val="none"/>
              </w:rPr>
            </w:pPr>
          </w:p>
        </w:tc>
        <w:tc>
          <w:tcPr>
            <w:tcW w:w="1510" w:type="dxa"/>
            <w:vMerge w:val="continue"/>
            <w:vAlign w:val="center"/>
          </w:tcPr>
          <w:p>
            <w:pPr>
              <w:jc w:val="center"/>
              <w:rPr>
                <w:rFonts w:asciiTheme="minorEastAsia" w:hAnsiTheme="minorEastAsia" w:eastAsiaTheme="minorEastAsia" w:cstheme="minorEastAsia"/>
                <w:color w:val="auto"/>
                <w:szCs w:val="22"/>
                <w:highlight w:val="none"/>
              </w:rPr>
            </w:pP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5</w:t>
            </w:r>
          </w:p>
        </w:tc>
        <w:tc>
          <w:tcPr>
            <w:tcW w:w="5151" w:type="dxa"/>
            <w:vAlign w:val="center"/>
          </w:tcPr>
          <w:p>
            <w:pP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航行灯模块软件调试</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12" w:type="dxa"/>
            <w:vMerge w:val="continue"/>
            <w:vAlign w:val="center"/>
          </w:tcPr>
          <w:p>
            <w:pPr>
              <w:rPr>
                <w:rFonts w:asciiTheme="minorEastAsia" w:hAnsiTheme="minorEastAsia" w:eastAsiaTheme="minorEastAsia" w:cstheme="minorEastAsia"/>
                <w:color w:val="auto"/>
                <w:szCs w:val="22"/>
                <w:highlight w:val="none"/>
              </w:rPr>
            </w:pPr>
          </w:p>
        </w:tc>
        <w:tc>
          <w:tcPr>
            <w:tcW w:w="1510" w:type="dxa"/>
            <w:vMerge w:val="continue"/>
            <w:vAlign w:val="center"/>
          </w:tcPr>
          <w:p>
            <w:pPr>
              <w:jc w:val="center"/>
              <w:rPr>
                <w:rFonts w:asciiTheme="minorEastAsia" w:hAnsiTheme="minorEastAsia" w:eastAsiaTheme="minorEastAsia" w:cstheme="minorEastAsia"/>
                <w:color w:val="auto"/>
                <w:szCs w:val="22"/>
                <w:highlight w:val="none"/>
              </w:rPr>
            </w:pP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5</w:t>
            </w:r>
          </w:p>
        </w:tc>
        <w:tc>
          <w:tcPr>
            <w:tcW w:w="5151" w:type="dxa"/>
            <w:vAlign w:val="center"/>
          </w:tcPr>
          <w:p>
            <w:pP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航海仪器仿真模块软件调试</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12" w:type="dxa"/>
            <w:vMerge w:val="continue"/>
            <w:vAlign w:val="center"/>
          </w:tcPr>
          <w:p>
            <w:pPr>
              <w:rPr>
                <w:rFonts w:asciiTheme="minorEastAsia" w:hAnsiTheme="minorEastAsia" w:eastAsiaTheme="minorEastAsia" w:cstheme="minorEastAsia"/>
                <w:color w:val="auto"/>
                <w:szCs w:val="22"/>
                <w:highlight w:val="none"/>
              </w:rPr>
            </w:pPr>
          </w:p>
        </w:tc>
        <w:tc>
          <w:tcPr>
            <w:tcW w:w="1510" w:type="dxa"/>
            <w:vMerge w:val="continue"/>
            <w:vAlign w:val="center"/>
          </w:tcPr>
          <w:p>
            <w:pPr>
              <w:jc w:val="center"/>
              <w:rPr>
                <w:rFonts w:asciiTheme="minorEastAsia" w:hAnsiTheme="minorEastAsia" w:eastAsiaTheme="minorEastAsia" w:cstheme="minorEastAsia"/>
                <w:color w:val="auto"/>
                <w:szCs w:val="22"/>
                <w:highlight w:val="none"/>
              </w:rPr>
            </w:pP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5</w:t>
            </w:r>
          </w:p>
        </w:tc>
        <w:tc>
          <w:tcPr>
            <w:tcW w:w="5151" w:type="dxa"/>
            <w:vAlign w:val="center"/>
          </w:tcPr>
          <w:p>
            <w:pP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电子海图模块软件调试</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12" w:type="dxa"/>
            <w:vMerge w:val="continue"/>
            <w:vAlign w:val="center"/>
          </w:tcPr>
          <w:p>
            <w:pPr>
              <w:rPr>
                <w:rFonts w:asciiTheme="minorEastAsia" w:hAnsiTheme="minorEastAsia" w:eastAsiaTheme="minorEastAsia" w:cstheme="minorEastAsia"/>
                <w:color w:val="auto"/>
                <w:szCs w:val="22"/>
                <w:highlight w:val="none"/>
              </w:rPr>
            </w:pPr>
          </w:p>
        </w:tc>
        <w:tc>
          <w:tcPr>
            <w:tcW w:w="1510" w:type="dxa"/>
            <w:vMerge w:val="continue"/>
            <w:vAlign w:val="center"/>
          </w:tcPr>
          <w:p>
            <w:pPr>
              <w:jc w:val="center"/>
              <w:rPr>
                <w:rFonts w:asciiTheme="minorEastAsia" w:hAnsiTheme="minorEastAsia" w:eastAsiaTheme="minorEastAsia" w:cstheme="minorEastAsia"/>
                <w:color w:val="auto"/>
                <w:szCs w:val="22"/>
                <w:highlight w:val="none"/>
              </w:rPr>
            </w:pP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5</w:t>
            </w:r>
          </w:p>
        </w:tc>
        <w:tc>
          <w:tcPr>
            <w:tcW w:w="5151" w:type="dxa"/>
            <w:vAlign w:val="center"/>
          </w:tcPr>
          <w:p>
            <w:pPr>
              <w:rPr>
                <w:rFonts w:asciiTheme="minorEastAsia" w:hAnsiTheme="minorEastAsia" w:eastAsiaTheme="minorEastAsia" w:cstheme="minorEastAsia"/>
                <w:b w:val="0"/>
                <w:bCs w:val="0"/>
                <w:color w:val="auto"/>
                <w:szCs w:val="22"/>
                <w:highlight w:val="none"/>
              </w:rPr>
            </w:pPr>
            <w:r>
              <w:rPr>
                <w:rFonts w:hint="eastAsia" w:asciiTheme="minorEastAsia" w:hAnsiTheme="minorEastAsia" w:eastAsiaTheme="minorEastAsia" w:cstheme="minorEastAsia"/>
                <w:b w:val="0"/>
                <w:bCs w:val="0"/>
                <w:color w:val="auto"/>
                <w:szCs w:val="22"/>
                <w:highlight w:val="none"/>
              </w:rPr>
              <w:t>触摸屏调试</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12" w:type="dxa"/>
            <w:vMerge w:val="continue"/>
            <w:vAlign w:val="center"/>
          </w:tcPr>
          <w:p>
            <w:pPr>
              <w:rPr>
                <w:rFonts w:asciiTheme="minorEastAsia" w:hAnsiTheme="minorEastAsia" w:eastAsiaTheme="minorEastAsia" w:cstheme="minorEastAsia"/>
                <w:color w:val="auto"/>
                <w:szCs w:val="22"/>
                <w:highlight w:val="none"/>
              </w:rPr>
            </w:pPr>
          </w:p>
        </w:tc>
        <w:tc>
          <w:tcPr>
            <w:tcW w:w="1510" w:type="dxa"/>
            <w:vMerge w:val="continue"/>
            <w:vAlign w:val="center"/>
          </w:tcPr>
          <w:p>
            <w:pPr>
              <w:jc w:val="center"/>
              <w:rPr>
                <w:rFonts w:asciiTheme="minorEastAsia" w:hAnsiTheme="minorEastAsia" w:eastAsiaTheme="minorEastAsia" w:cstheme="minorEastAsia"/>
                <w:color w:val="auto"/>
                <w:szCs w:val="22"/>
                <w:highlight w:val="none"/>
              </w:rPr>
            </w:pP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5</w:t>
            </w:r>
          </w:p>
        </w:tc>
        <w:tc>
          <w:tcPr>
            <w:tcW w:w="5151" w:type="dxa"/>
            <w:vAlign w:val="center"/>
          </w:tcPr>
          <w:p>
            <w:pPr>
              <w:rPr>
                <w:rFonts w:asciiTheme="minorEastAsia" w:hAnsiTheme="minorEastAsia" w:eastAsiaTheme="minorEastAsia" w:cstheme="minorEastAsia"/>
                <w:b w:val="0"/>
                <w:bCs w:val="0"/>
                <w:color w:val="auto"/>
                <w:szCs w:val="22"/>
                <w:highlight w:val="none"/>
              </w:rPr>
            </w:pPr>
            <w:r>
              <w:rPr>
                <w:rFonts w:hint="eastAsia" w:asciiTheme="minorEastAsia" w:hAnsiTheme="minorEastAsia" w:eastAsiaTheme="minorEastAsia" w:cstheme="minorEastAsia"/>
                <w:b w:val="0"/>
                <w:bCs w:val="0"/>
                <w:color w:val="auto"/>
                <w:szCs w:val="22"/>
                <w:highlight w:val="none"/>
              </w:rPr>
              <w:t>车钟调试</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12" w:type="dxa"/>
            <w:vMerge w:val="continue"/>
            <w:vAlign w:val="center"/>
          </w:tcPr>
          <w:p>
            <w:pPr>
              <w:rPr>
                <w:rFonts w:asciiTheme="minorEastAsia" w:hAnsiTheme="minorEastAsia" w:eastAsiaTheme="minorEastAsia" w:cstheme="minorEastAsia"/>
                <w:color w:val="auto"/>
                <w:szCs w:val="22"/>
                <w:highlight w:val="none"/>
              </w:rPr>
            </w:pPr>
          </w:p>
        </w:tc>
        <w:tc>
          <w:tcPr>
            <w:tcW w:w="1510" w:type="dxa"/>
            <w:vMerge w:val="continue"/>
            <w:vAlign w:val="center"/>
          </w:tcPr>
          <w:p>
            <w:pPr>
              <w:jc w:val="center"/>
              <w:rPr>
                <w:rFonts w:asciiTheme="minorEastAsia" w:hAnsiTheme="minorEastAsia" w:eastAsiaTheme="minorEastAsia" w:cstheme="minorEastAsia"/>
                <w:color w:val="auto"/>
                <w:szCs w:val="22"/>
                <w:highlight w:val="none"/>
              </w:rPr>
            </w:pP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5</w:t>
            </w:r>
          </w:p>
        </w:tc>
        <w:tc>
          <w:tcPr>
            <w:tcW w:w="5151" w:type="dxa"/>
            <w:vAlign w:val="center"/>
          </w:tcPr>
          <w:p>
            <w:pPr>
              <w:rPr>
                <w:rFonts w:asciiTheme="minorEastAsia" w:hAnsiTheme="minorEastAsia" w:eastAsiaTheme="minorEastAsia" w:cstheme="minorEastAsia"/>
                <w:b w:val="0"/>
                <w:bCs w:val="0"/>
                <w:color w:val="auto"/>
                <w:szCs w:val="22"/>
                <w:highlight w:val="none"/>
              </w:rPr>
            </w:pPr>
            <w:r>
              <w:rPr>
                <w:rFonts w:hint="eastAsia" w:asciiTheme="minorEastAsia" w:hAnsiTheme="minorEastAsia" w:eastAsiaTheme="minorEastAsia" w:cstheme="minorEastAsia"/>
                <w:b w:val="0"/>
                <w:bCs w:val="0"/>
                <w:color w:val="auto"/>
                <w:szCs w:val="22"/>
                <w:highlight w:val="none"/>
              </w:rPr>
              <w:t>舵轮调试</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12" w:type="dxa"/>
            <w:vMerge w:val="continue"/>
            <w:vAlign w:val="center"/>
          </w:tcPr>
          <w:p>
            <w:pPr>
              <w:rPr>
                <w:rFonts w:asciiTheme="minorEastAsia" w:hAnsiTheme="minorEastAsia" w:eastAsiaTheme="minorEastAsia" w:cstheme="minorEastAsia"/>
                <w:color w:val="auto"/>
                <w:szCs w:val="22"/>
                <w:highlight w:val="none"/>
              </w:rPr>
            </w:pPr>
          </w:p>
        </w:tc>
        <w:tc>
          <w:tcPr>
            <w:tcW w:w="1510" w:type="dxa"/>
            <w:vMerge w:val="continue"/>
            <w:vAlign w:val="center"/>
          </w:tcPr>
          <w:p>
            <w:pPr>
              <w:jc w:val="center"/>
              <w:rPr>
                <w:rFonts w:asciiTheme="minorEastAsia" w:hAnsiTheme="minorEastAsia" w:eastAsiaTheme="minorEastAsia" w:cstheme="minorEastAsia"/>
                <w:color w:val="auto"/>
                <w:szCs w:val="22"/>
                <w:highlight w:val="none"/>
              </w:rPr>
            </w:pP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5</w:t>
            </w:r>
          </w:p>
        </w:tc>
        <w:tc>
          <w:tcPr>
            <w:tcW w:w="5151" w:type="dxa"/>
            <w:vAlign w:val="center"/>
          </w:tcPr>
          <w:p>
            <w:pPr>
              <w:rPr>
                <w:rFonts w:asciiTheme="minorEastAsia" w:hAnsiTheme="minorEastAsia" w:eastAsiaTheme="minorEastAsia" w:cstheme="minorEastAsia"/>
                <w:b w:val="0"/>
                <w:bCs w:val="0"/>
                <w:color w:val="auto"/>
                <w:szCs w:val="22"/>
                <w:highlight w:val="none"/>
              </w:rPr>
            </w:pPr>
            <w:r>
              <w:rPr>
                <w:rFonts w:hint="eastAsia" w:asciiTheme="minorEastAsia" w:hAnsiTheme="minorEastAsia" w:eastAsiaTheme="minorEastAsia" w:cstheme="minorEastAsia"/>
                <w:b w:val="0"/>
                <w:bCs w:val="0"/>
                <w:color w:val="auto"/>
                <w:szCs w:val="22"/>
                <w:highlight w:val="none"/>
              </w:rPr>
              <w:t>罗经调试</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12" w:type="dxa"/>
            <w:vMerge w:val="continue"/>
            <w:vAlign w:val="center"/>
          </w:tcPr>
          <w:p>
            <w:pPr>
              <w:rPr>
                <w:rFonts w:asciiTheme="minorEastAsia" w:hAnsiTheme="minorEastAsia" w:eastAsiaTheme="minorEastAsia" w:cstheme="minorEastAsia"/>
                <w:color w:val="auto"/>
                <w:szCs w:val="22"/>
                <w:highlight w:val="none"/>
              </w:rPr>
            </w:pPr>
          </w:p>
        </w:tc>
        <w:tc>
          <w:tcPr>
            <w:tcW w:w="1510" w:type="dxa"/>
            <w:vMerge w:val="continue"/>
            <w:vAlign w:val="center"/>
          </w:tcPr>
          <w:p>
            <w:pPr>
              <w:jc w:val="center"/>
              <w:rPr>
                <w:rFonts w:asciiTheme="minorEastAsia" w:hAnsiTheme="minorEastAsia" w:eastAsiaTheme="minorEastAsia" w:cstheme="minorEastAsia"/>
                <w:color w:val="auto"/>
                <w:szCs w:val="22"/>
                <w:highlight w:val="none"/>
              </w:rPr>
            </w:pP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5</w:t>
            </w:r>
          </w:p>
        </w:tc>
        <w:tc>
          <w:tcPr>
            <w:tcW w:w="5151" w:type="dxa"/>
            <w:vAlign w:val="center"/>
          </w:tcPr>
          <w:p>
            <w:pPr>
              <w:rPr>
                <w:rFonts w:asciiTheme="minorEastAsia" w:hAnsiTheme="minorEastAsia" w:eastAsiaTheme="minorEastAsia" w:cstheme="minorEastAsia"/>
                <w:b w:val="0"/>
                <w:bCs w:val="0"/>
                <w:color w:val="auto"/>
                <w:szCs w:val="22"/>
                <w:highlight w:val="none"/>
              </w:rPr>
            </w:pPr>
            <w:r>
              <w:rPr>
                <w:rFonts w:hint="eastAsia" w:asciiTheme="minorEastAsia" w:hAnsiTheme="minorEastAsia" w:eastAsiaTheme="minorEastAsia" w:cstheme="minorEastAsia"/>
                <w:b w:val="0"/>
                <w:bCs w:val="0"/>
                <w:color w:val="auto"/>
                <w:szCs w:val="22"/>
                <w:highlight w:val="none"/>
              </w:rPr>
              <w:t>侧推器设备调试</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12" w:type="dxa"/>
            <w:vMerge w:val="continue"/>
            <w:vAlign w:val="center"/>
          </w:tcPr>
          <w:p>
            <w:pPr>
              <w:rPr>
                <w:rFonts w:asciiTheme="minorEastAsia" w:hAnsiTheme="minorEastAsia" w:eastAsiaTheme="minorEastAsia" w:cstheme="minorEastAsia"/>
                <w:color w:val="auto"/>
                <w:szCs w:val="22"/>
                <w:highlight w:val="none"/>
              </w:rPr>
            </w:pPr>
          </w:p>
        </w:tc>
        <w:tc>
          <w:tcPr>
            <w:tcW w:w="1510" w:type="dxa"/>
            <w:vMerge w:val="continue"/>
            <w:vAlign w:val="center"/>
          </w:tcPr>
          <w:p>
            <w:pPr>
              <w:jc w:val="center"/>
              <w:rPr>
                <w:rFonts w:asciiTheme="minorEastAsia" w:hAnsiTheme="minorEastAsia" w:eastAsiaTheme="minorEastAsia" w:cstheme="minorEastAsia"/>
                <w:color w:val="auto"/>
                <w:szCs w:val="22"/>
                <w:highlight w:val="none"/>
              </w:rPr>
            </w:pP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5</w:t>
            </w:r>
          </w:p>
        </w:tc>
        <w:tc>
          <w:tcPr>
            <w:tcW w:w="5151" w:type="dxa"/>
            <w:vAlign w:val="center"/>
          </w:tcPr>
          <w:p>
            <w:pPr>
              <w:rPr>
                <w:rFonts w:asciiTheme="minorEastAsia" w:hAnsiTheme="minorEastAsia" w:eastAsiaTheme="minorEastAsia" w:cstheme="minorEastAsia"/>
                <w:b w:val="0"/>
                <w:bCs w:val="0"/>
                <w:color w:val="auto"/>
                <w:szCs w:val="22"/>
                <w:highlight w:val="none"/>
              </w:rPr>
            </w:pPr>
            <w:r>
              <w:rPr>
                <w:rFonts w:hint="eastAsia" w:asciiTheme="minorEastAsia" w:hAnsiTheme="minorEastAsia" w:eastAsiaTheme="minorEastAsia" w:cstheme="minorEastAsia"/>
                <w:b w:val="0"/>
                <w:bCs w:val="0"/>
                <w:color w:val="auto"/>
                <w:szCs w:val="22"/>
                <w:highlight w:val="none"/>
              </w:rPr>
              <w:t>抬头显示系统调试</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12" w:type="dxa"/>
            <w:vMerge w:val="continue"/>
            <w:vAlign w:val="center"/>
          </w:tcPr>
          <w:p>
            <w:pPr>
              <w:rPr>
                <w:rFonts w:asciiTheme="minorEastAsia" w:hAnsiTheme="minorEastAsia" w:eastAsiaTheme="minorEastAsia" w:cstheme="minorEastAsia"/>
                <w:color w:val="auto"/>
                <w:szCs w:val="22"/>
                <w:highlight w:val="none"/>
              </w:rPr>
            </w:pPr>
          </w:p>
        </w:tc>
        <w:tc>
          <w:tcPr>
            <w:tcW w:w="1510" w:type="dxa"/>
            <w:vMerge w:val="continue"/>
            <w:vAlign w:val="center"/>
          </w:tcPr>
          <w:p>
            <w:pPr>
              <w:jc w:val="center"/>
              <w:rPr>
                <w:rFonts w:asciiTheme="minorEastAsia" w:hAnsiTheme="minorEastAsia" w:eastAsiaTheme="minorEastAsia" w:cstheme="minorEastAsia"/>
                <w:color w:val="auto"/>
                <w:szCs w:val="22"/>
                <w:highlight w:val="none"/>
              </w:rPr>
            </w:pP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5</w:t>
            </w:r>
          </w:p>
        </w:tc>
        <w:tc>
          <w:tcPr>
            <w:tcW w:w="5151" w:type="dxa"/>
            <w:vAlign w:val="center"/>
          </w:tcPr>
          <w:p>
            <w:pPr>
              <w:rPr>
                <w:rFonts w:asciiTheme="minorEastAsia" w:hAnsiTheme="minorEastAsia" w:eastAsiaTheme="minorEastAsia" w:cstheme="minorEastAsia"/>
                <w:b w:val="0"/>
                <w:bCs w:val="0"/>
                <w:color w:val="auto"/>
                <w:szCs w:val="22"/>
                <w:highlight w:val="none"/>
              </w:rPr>
            </w:pPr>
            <w:r>
              <w:rPr>
                <w:rFonts w:hint="eastAsia" w:asciiTheme="minorEastAsia" w:hAnsiTheme="minorEastAsia" w:eastAsiaTheme="minorEastAsia" w:cstheme="minorEastAsia"/>
                <w:b w:val="0"/>
                <w:bCs w:val="0"/>
                <w:color w:val="auto"/>
                <w:szCs w:val="22"/>
                <w:highlight w:val="none"/>
              </w:rPr>
              <w:t>GPS设备调试</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12" w:type="dxa"/>
            <w:vMerge w:val="continue"/>
            <w:vAlign w:val="center"/>
          </w:tcPr>
          <w:p>
            <w:pPr>
              <w:rPr>
                <w:rFonts w:asciiTheme="minorEastAsia" w:hAnsiTheme="minorEastAsia" w:eastAsiaTheme="minorEastAsia" w:cstheme="minorEastAsia"/>
                <w:color w:val="auto"/>
                <w:szCs w:val="22"/>
                <w:highlight w:val="none"/>
              </w:rPr>
            </w:pPr>
          </w:p>
        </w:tc>
        <w:tc>
          <w:tcPr>
            <w:tcW w:w="1510" w:type="dxa"/>
            <w:vMerge w:val="continue"/>
            <w:vAlign w:val="center"/>
          </w:tcPr>
          <w:p>
            <w:pPr>
              <w:jc w:val="center"/>
              <w:rPr>
                <w:rFonts w:asciiTheme="minorEastAsia" w:hAnsiTheme="minorEastAsia" w:eastAsiaTheme="minorEastAsia" w:cstheme="minorEastAsia"/>
                <w:color w:val="auto"/>
                <w:szCs w:val="22"/>
                <w:highlight w:val="none"/>
              </w:rPr>
            </w:pP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5</w:t>
            </w:r>
          </w:p>
        </w:tc>
        <w:tc>
          <w:tcPr>
            <w:tcW w:w="5151" w:type="dxa"/>
            <w:vAlign w:val="center"/>
          </w:tcPr>
          <w:p>
            <w:pPr>
              <w:rPr>
                <w:rFonts w:asciiTheme="minorEastAsia" w:hAnsiTheme="minorEastAsia" w:eastAsiaTheme="minorEastAsia" w:cstheme="minorEastAsia"/>
                <w:b w:val="0"/>
                <w:bCs w:val="0"/>
                <w:color w:val="auto"/>
                <w:szCs w:val="22"/>
                <w:highlight w:val="none"/>
              </w:rPr>
            </w:pPr>
            <w:r>
              <w:rPr>
                <w:rFonts w:hint="eastAsia" w:asciiTheme="minorEastAsia" w:hAnsiTheme="minorEastAsia" w:eastAsiaTheme="minorEastAsia" w:cstheme="minorEastAsia"/>
                <w:b w:val="0"/>
                <w:bCs w:val="0"/>
                <w:color w:val="auto"/>
                <w:szCs w:val="22"/>
                <w:highlight w:val="none"/>
              </w:rPr>
              <w:t>VHF设备调试</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12" w:type="dxa"/>
            <w:vMerge w:val="continue"/>
            <w:vAlign w:val="center"/>
          </w:tcPr>
          <w:p>
            <w:pPr>
              <w:rPr>
                <w:rFonts w:asciiTheme="minorEastAsia" w:hAnsiTheme="minorEastAsia" w:eastAsiaTheme="minorEastAsia" w:cstheme="minorEastAsia"/>
                <w:color w:val="auto"/>
                <w:szCs w:val="22"/>
                <w:highlight w:val="none"/>
              </w:rPr>
            </w:pPr>
          </w:p>
        </w:tc>
        <w:tc>
          <w:tcPr>
            <w:tcW w:w="1510" w:type="dxa"/>
            <w:vMerge w:val="continue"/>
            <w:vAlign w:val="center"/>
          </w:tcPr>
          <w:p>
            <w:pPr>
              <w:jc w:val="center"/>
              <w:rPr>
                <w:rFonts w:asciiTheme="minorEastAsia" w:hAnsiTheme="minorEastAsia" w:eastAsiaTheme="minorEastAsia" w:cstheme="minorEastAsia"/>
                <w:color w:val="auto"/>
                <w:szCs w:val="22"/>
                <w:highlight w:val="none"/>
              </w:rPr>
            </w:pP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5</w:t>
            </w:r>
          </w:p>
        </w:tc>
        <w:tc>
          <w:tcPr>
            <w:tcW w:w="5151" w:type="dxa"/>
            <w:vAlign w:val="center"/>
          </w:tcPr>
          <w:p>
            <w:pPr>
              <w:rPr>
                <w:rFonts w:asciiTheme="minorEastAsia" w:hAnsiTheme="minorEastAsia" w:eastAsiaTheme="minorEastAsia" w:cstheme="minorEastAsia"/>
                <w:b w:val="0"/>
                <w:bCs w:val="0"/>
                <w:color w:val="auto"/>
                <w:szCs w:val="22"/>
                <w:highlight w:val="none"/>
              </w:rPr>
            </w:pPr>
            <w:r>
              <w:rPr>
                <w:rFonts w:hint="eastAsia" w:asciiTheme="minorEastAsia" w:hAnsiTheme="minorEastAsia" w:eastAsiaTheme="minorEastAsia" w:cstheme="minorEastAsia"/>
                <w:b w:val="0"/>
                <w:bCs w:val="0"/>
                <w:color w:val="auto"/>
                <w:szCs w:val="22"/>
                <w:highlight w:val="none"/>
              </w:rPr>
              <w:t>通信设备调试</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12" w:type="dxa"/>
            <w:vMerge w:val="continue"/>
            <w:vAlign w:val="center"/>
          </w:tcPr>
          <w:p>
            <w:pPr>
              <w:rPr>
                <w:rFonts w:asciiTheme="minorEastAsia" w:hAnsiTheme="minorEastAsia" w:eastAsiaTheme="minorEastAsia" w:cstheme="minorEastAsia"/>
                <w:color w:val="auto"/>
                <w:szCs w:val="22"/>
                <w:highlight w:val="none"/>
              </w:rPr>
            </w:pPr>
          </w:p>
        </w:tc>
        <w:tc>
          <w:tcPr>
            <w:tcW w:w="1510" w:type="dxa"/>
            <w:vMerge w:val="continue"/>
            <w:vAlign w:val="center"/>
          </w:tcPr>
          <w:p>
            <w:pPr>
              <w:jc w:val="center"/>
              <w:rPr>
                <w:rFonts w:asciiTheme="minorEastAsia" w:hAnsiTheme="minorEastAsia" w:eastAsiaTheme="minorEastAsia" w:cstheme="minorEastAsia"/>
                <w:color w:val="auto"/>
                <w:szCs w:val="22"/>
                <w:highlight w:val="none"/>
              </w:rPr>
            </w:pP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5</w:t>
            </w:r>
          </w:p>
        </w:tc>
        <w:tc>
          <w:tcPr>
            <w:tcW w:w="5151" w:type="dxa"/>
            <w:vAlign w:val="center"/>
          </w:tcPr>
          <w:p>
            <w:pPr>
              <w:rPr>
                <w:rFonts w:asciiTheme="minorEastAsia" w:hAnsiTheme="minorEastAsia" w:eastAsiaTheme="minorEastAsia" w:cstheme="minorEastAsia"/>
                <w:b w:val="0"/>
                <w:bCs w:val="0"/>
                <w:color w:val="auto"/>
                <w:szCs w:val="22"/>
                <w:highlight w:val="none"/>
              </w:rPr>
            </w:pPr>
            <w:r>
              <w:rPr>
                <w:rFonts w:hint="eastAsia" w:asciiTheme="minorEastAsia" w:hAnsiTheme="minorEastAsia" w:eastAsiaTheme="minorEastAsia" w:cstheme="minorEastAsia"/>
                <w:b w:val="0"/>
                <w:bCs w:val="0"/>
                <w:color w:val="auto"/>
                <w:szCs w:val="22"/>
                <w:highlight w:val="none"/>
              </w:rPr>
              <w:t>船内电话调试</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12" w:type="dxa"/>
            <w:vMerge w:val="continue"/>
            <w:vAlign w:val="center"/>
          </w:tcPr>
          <w:p>
            <w:pPr>
              <w:rPr>
                <w:rFonts w:asciiTheme="minorEastAsia" w:hAnsiTheme="minorEastAsia" w:eastAsiaTheme="minorEastAsia" w:cstheme="minorEastAsia"/>
                <w:color w:val="auto"/>
                <w:szCs w:val="22"/>
                <w:highlight w:val="none"/>
              </w:rPr>
            </w:pPr>
          </w:p>
        </w:tc>
        <w:tc>
          <w:tcPr>
            <w:tcW w:w="1510" w:type="dxa"/>
            <w:vMerge w:val="continue"/>
            <w:vAlign w:val="center"/>
          </w:tcPr>
          <w:p>
            <w:pPr>
              <w:jc w:val="center"/>
              <w:rPr>
                <w:rFonts w:asciiTheme="minorEastAsia" w:hAnsiTheme="minorEastAsia" w:eastAsiaTheme="minorEastAsia" w:cstheme="minorEastAsia"/>
                <w:color w:val="auto"/>
                <w:szCs w:val="22"/>
                <w:highlight w:val="none"/>
              </w:rPr>
            </w:pPr>
          </w:p>
        </w:tc>
        <w:tc>
          <w:tcPr>
            <w:tcW w:w="551" w:type="dxa"/>
            <w:vAlign w:val="center"/>
          </w:tcPr>
          <w:p>
            <w:pPr>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5</w:t>
            </w:r>
          </w:p>
        </w:tc>
        <w:tc>
          <w:tcPr>
            <w:tcW w:w="5151" w:type="dxa"/>
            <w:vAlign w:val="center"/>
          </w:tcPr>
          <w:p>
            <w:pPr>
              <w:rPr>
                <w:rFonts w:asciiTheme="minorEastAsia" w:hAnsiTheme="minorEastAsia" w:eastAsiaTheme="minorEastAsia" w:cstheme="minorEastAsia"/>
                <w:b w:val="0"/>
                <w:bCs w:val="0"/>
                <w:color w:val="auto"/>
                <w:szCs w:val="22"/>
                <w:highlight w:val="none"/>
              </w:rPr>
            </w:pPr>
            <w:r>
              <w:rPr>
                <w:rFonts w:hint="eastAsia" w:asciiTheme="minorEastAsia" w:hAnsiTheme="minorEastAsia" w:eastAsiaTheme="minorEastAsia" w:cstheme="minorEastAsia"/>
                <w:b w:val="0"/>
                <w:bCs w:val="0"/>
                <w:color w:val="auto"/>
                <w:szCs w:val="22"/>
                <w:highlight w:val="none"/>
              </w:rPr>
              <w:t>投影，显示屏等音频、图像调试。</w:t>
            </w:r>
          </w:p>
        </w:tc>
        <w:tc>
          <w:tcPr>
            <w:tcW w:w="1494" w:type="dxa"/>
            <w:vMerge w:val="continue"/>
            <w:vAlign w:val="center"/>
          </w:tcPr>
          <w:p>
            <w:pPr>
              <w:jc w:val="center"/>
              <w:rPr>
                <w:rFonts w:asciiTheme="minorHAnsi" w:hAnsiTheme="minorHAnsi" w:eastAsiaTheme="minorEastAsia" w:cstheme="minorBidi"/>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812" w:type="dxa"/>
            <w:vAlign w:val="center"/>
          </w:tcPr>
          <w:p>
            <w:pPr>
              <w:rPr>
                <w:rFonts w:asciiTheme="minorEastAsia" w:hAnsiTheme="minorEastAsia" w:eastAsiaTheme="minorEastAsia" w:cstheme="minorEastAsia"/>
                <w:color w:val="auto"/>
                <w:szCs w:val="22"/>
                <w:highlight w:val="none"/>
              </w:rPr>
            </w:pPr>
          </w:p>
        </w:tc>
        <w:tc>
          <w:tcPr>
            <w:tcW w:w="1510" w:type="dxa"/>
            <w:vAlign w:val="center"/>
          </w:tcPr>
          <w:p>
            <w:pPr>
              <w:rPr>
                <w:rFonts w:asciiTheme="minorEastAsia" w:hAnsiTheme="minorEastAsia" w:eastAsiaTheme="minorEastAsia" w:cstheme="minorEastAsia"/>
                <w:b/>
                <w:bCs/>
                <w:color w:val="auto"/>
                <w:sz w:val="36"/>
                <w:szCs w:val="36"/>
                <w:highlight w:val="none"/>
              </w:rPr>
            </w:pPr>
          </w:p>
        </w:tc>
        <w:tc>
          <w:tcPr>
            <w:tcW w:w="7196" w:type="dxa"/>
            <w:gridSpan w:val="3"/>
            <w:vAlign w:val="center"/>
          </w:tcPr>
          <w:p>
            <w:pPr>
              <w:pStyle w:val="2"/>
              <w:ind w:firstLine="723" w:firstLineChars="200"/>
              <w:rPr>
                <w:b/>
                <w:bCs/>
                <w:color w:val="auto"/>
                <w:sz w:val="36"/>
                <w:szCs w:val="36"/>
                <w:highlight w:val="none"/>
              </w:rPr>
            </w:pPr>
          </w:p>
        </w:tc>
      </w:tr>
    </w:tbl>
    <w:p>
      <w:pPr>
        <w:rPr>
          <w:rFonts w:asciiTheme="minorEastAsia" w:hAnsiTheme="minorEastAsia" w:cstheme="minorEastAsia"/>
          <w:color w:val="auto"/>
          <w:highlight w:val="none"/>
        </w:rPr>
      </w:pPr>
    </w:p>
    <w:p>
      <w:pPr>
        <w:jc w:val="center"/>
        <w:rPr>
          <w:rFonts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48"/>
          <w:szCs w:val="48"/>
          <w:highlight w:val="none"/>
        </w:rPr>
      </w:pPr>
      <w:r>
        <w:rPr>
          <w:rFonts w:hint="eastAsia" w:ascii="仿宋_GB2312" w:hAnsi="仿宋_GB2312" w:eastAsia="仿宋_GB2312" w:cs="仿宋_GB2312"/>
          <w:b/>
          <w:bCs/>
          <w:color w:val="auto"/>
          <w:sz w:val="32"/>
          <w:szCs w:val="32"/>
          <w:highlight w:val="none"/>
        </w:rPr>
        <w:t>第四包：轮机全任务模拟器实训室搬迁</w:t>
      </w:r>
    </w:p>
    <w:p>
      <w:pPr>
        <w:spacing w:line="360" w:lineRule="auto"/>
        <w:jc w:val="center"/>
        <w:rPr>
          <w:rFonts w:ascii="仿宋_GB2312" w:hAnsi="仿宋_GB2312" w:eastAsia="仿宋_GB2312" w:cs="仿宋_GB2312"/>
          <w:b/>
          <w:bCs/>
          <w:color w:val="auto"/>
          <w:sz w:val="48"/>
          <w:szCs w:val="48"/>
          <w:highlight w:val="none"/>
        </w:rPr>
      </w:pPr>
      <w:r>
        <w:rPr>
          <w:rFonts w:hint="eastAsia" w:ascii="仿宋_GB2312" w:hAnsi="仿宋_GB2312" w:eastAsia="仿宋_GB2312" w:cs="仿宋_GB2312"/>
          <w:b/>
          <w:bCs/>
          <w:color w:val="auto"/>
          <w:sz w:val="24"/>
          <w:szCs w:val="24"/>
          <w:highlight w:val="none"/>
          <w:lang w:eastAsia="zh-CN"/>
        </w:rPr>
        <w:t>（上海海事大学轮机模拟器</w:t>
      </w:r>
      <w:r>
        <w:rPr>
          <w:rFonts w:hint="eastAsia" w:ascii="仿宋_GB2312" w:hAnsi="仿宋_GB2312" w:eastAsia="仿宋_GB2312" w:cs="仿宋_GB2312"/>
          <w:b/>
          <w:bCs/>
          <w:color w:val="auto"/>
          <w:sz w:val="24"/>
          <w:szCs w:val="24"/>
          <w:highlight w:val="none"/>
          <w:lang w:val="en-US" w:eastAsia="zh-CN"/>
        </w:rPr>
        <w:t>SMSC2013</w:t>
      </w:r>
      <w:r>
        <w:rPr>
          <w:rFonts w:hint="eastAsia" w:ascii="仿宋_GB2312" w:hAnsi="仿宋_GB2312" w:eastAsia="仿宋_GB2312" w:cs="仿宋_GB2312"/>
          <w:b/>
          <w:bCs/>
          <w:color w:val="auto"/>
          <w:sz w:val="24"/>
          <w:szCs w:val="24"/>
          <w:highlight w:val="none"/>
          <w:lang w:eastAsia="zh-CN"/>
        </w:rPr>
        <w:t>）</w:t>
      </w:r>
    </w:p>
    <w:p>
      <w:pPr>
        <w:spacing w:line="360" w:lineRule="auto"/>
        <w:jc w:val="left"/>
        <w:rPr>
          <w:rFonts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一、</w:t>
      </w:r>
      <w:r>
        <w:rPr>
          <w:rFonts w:hint="eastAsia" w:ascii="仿宋_GB2312" w:hAnsi="仿宋_GB2312" w:eastAsia="仿宋_GB2312" w:cs="仿宋_GB2312"/>
          <w:b/>
          <w:bCs/>
          <w:color w:val="auto"/>
          <w:sz w:val="24"/>
          <w:szCs w:val="24"/>
          <w:highlight w:val="none"/>
        </w:rPr>
        <w:t xml:space="preserve">搬迁要求 </w:t>
      </w:r>
    </w:p>
    <w:p>
      <w:pPr>
        <w:spacing w:line="360" w:lineRule="auto"/>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搬迁要求以以实训室为单位进行拆卸、包装、运输和安装调试工作</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要求自合肥市太湖东路22号（老校区）搬迁至新桥校区（新校区）指定实训室。</w:t>
      </w:r>
      <w:r>
        <w:rPr>
          <w:rFonts w:hint="eastAsia" w:ascii="仿宋_GB2312" w:hAnsi="仿宋_GB2312" w:eastAsia="仿宋_GB2312" w:cs="仿宋_GB2312"/>
          <w:color w:val="auto"/>
          <w:sz w:val="24"/>
          <w:szCs w:val="24"/>
          <w:highlight w:val="none"/>
        </w:rPr>
        <w:t>搬迁工作含</w:t>
      </w:r>
      <w:r>
        <w:rPr>
          <w:rFonts w:hint="eastAsia" w:ascii="仿宋_GB2312" w:hAnsi="仿宋_GB2312" w:eastAsia="仿宋_GB2312" w:cs="仿宋_GB2312"/>
          <w:color w:val="auto"/>
          <w:sz w:val="24"/>
          <w:szCs w:val="24"/>
          <w:highlight w:val="none"/>
          <w:lang w:eastAsia="zh-CN"/>
        </w:rPr>
        <w:t>老校区</w:t>
      </w:r>
      <w:r>
        <w:rPr>
          <w:rFonts w:hint="eastAsia" w:ascii="仿宋_GB2312" w:hAnsi="仿宋_GB2312" w:eastAsia="仿宋_GB2312" w:cs="仿宋_GB2312"/>
          <w:color w:val="auto"/>
          <w:sz w:val="24"/>
          <w:szCs w:val="24"/>
          <w:highlight w:val="none"/>
        </w:rPr>
        <w:t>实训</w:t>
      </w:r>
      <w:r>
        <w:rPr>
          <w:rFonts w:hint="eastAsia" w:ascii="仿宋_GB2312" w:hAnsi="仿宋_GB2312" w:eastAsia="仿宋_GB2312" w:cs="仿宋_GB2312"/>
          <w:color w:val="auto"/>
          <w:sz w:val="24"/>
          <w:szCs w:val="24"/>
          <w:highlight w:val="none"/>
          <w:lang w:eastAsia="zh-CN"/>
        </w:rPr>
        <w:t>室</w:t>
      </w:r>
      <w:r>
        <w:rPr>
          <w:rFonts w:hint="eastAsia" w:ascii="仿宋_GB2312" w:hAnsi="仿宋_GB2312" w:eastAsia="仿宋_GB2312" w:cs="仿宋_GB2312"/>
          <w:color w:val="auto"/>
          <w:sz w:val="24"/>
          <w:szCs w:val="24"/>
          <w:highlight w:val="none"/>
        </w:rPr>
        <w:t>内设备拆卸、包装、运输</w:t>
      </w:r>
      <w:r>
        <w:rPr>
          <w:rFonts w:hint="eastAsia" w:ascii="仿宋_GB2312" w:hAnsi="仿宋_GB2312" w:eastAsia="仿宋_GB2312" w:cs="仿宋_GB2312"/>
          <w:color w:val="auto"/>
          <w:sz w:val="24"/>
          <w:szCs w:val="24"/>
          <w:highlight w:val="none"/>
          <w:lang w:eastAsia="zh-CN"/>
        </w:rPr>
        <w:t>、新桥校区实训室</w:t>
      </w:r>
      <w:r>
        <w:rPr>
          <w:rFonts w:hint="eastAsia" w:ascii="仿宋_GB2312" w:hAnsi="仿宋_GB2312" w:eastAsia="仿宋_GB2312" w:cs="仿宋_GB2312"/>
          <w:color w:val="auto"/>
          <w:sz w:val="24"/>
          <w:szCs w:val="24"/>
          <w:highlight w:val="none"/>
        </w:rPr>
        <w:t>强弱电</w:t>
      </w:r>
      <w:r>
        <w:rPr>
          <w:rFonts w:hint="eastAsia" w:ascii="仿宋_GB2312" w:hAnsi="仿宋_GB2312" w:eastAsia="仿宋_GB2312" w:cs="仿宋_GB2312"/>
          <w:color w:val="auto"/>
          <w:sz w:val="24"/>
          <w:szCs w:val="24"/>
          <w:highlight w:val="none"/>
          <w:lang w:eastAsia="zh-CN"/>
        </w:rPr>
        <w:t>接线以及搬迁设备在新桥校区实训室的</w:t>
      </w:r>
      <w:r>
        <w:rPr>
          <w:rFonts w:hint="eastAsia" w:ascii="仿宋_GB2312" w:hAnsi="仿宋_GB2312" w:eastAsia="仿宋_GB2312" w:cs="仿宋_GB2312"/>
          <w:color w:val="auto"/>
          <w:sz w:val="24"/>
          <w:szCs w:val="24"/>
          <w:highlight w:val="none"/>
        </w:rPr>
        <w:t>安装、调试</w:t>
      </w:r>
      <w:r>
        <w:rPr>
          <w:rFonts w:hint="eastAsia" w:ascii="仿宋_GB2312" w:hAnsi="仿宋_GB2312" w:eastAsia="仿宋_GB2312" w:cs="仿宋_GB2312"/>
          <w:color w:val="auto"/>
          <w:sz w:val="24"/>
          <w:szCs w:val="24"/>
          <w:highlight w:val="none"/>
          <w:lang w:eastAsia="zh-CN"/>
        </w:rPr>
        <w:t>和</w:t>
      </w:r>
      <w:r>
        <w:rPr>
          <w:rFonts w:hint="eastAsia" w:ascii="仿宋_GB2312" w:hAnsi="仿宋_GB2312" w:eastAsia="仿宋_GB2312" w:cs="仿宋_GB2312"/>
          <w:color w:val="auto"/>
          <w:sz w:val="24"/>
          <w:szCs w:val="24"/>
          <w:highlight w:val="none"/>
        </w:rPr>
        <w:t>设备</w:t>
      </w:r>
      <w:r>
        <w:rPr>
          <w:rFonts w:hint="eastAsia" w:ascii="仿宋_GB2312" w:hAnsi="仿宋_GB2312" w:eastAsia="仿宋_GB2312" w:cs="仿宋_GB2312"/>
          <w:color w:val="auto"/>
          <w:sz w:val="24"/>
          <w:szCs w:val="24"/>
          <w:highlight w:val="none"/>
          <w:lang w:eastAsia="zh-CN"/>
        </w:rPr>
        <w:t>正常</w:t>
      </w:r>
      <w:r>
        <w:rPr>
          <w:rFonts w:hint="eastAsia" w:ascii="仿宋_GB2312" w:hAnsi="仿宋_GB2312" w:eastAsia="仿宋_GB2312" w:cs="仿宋_GB2312"/>
          <w:color w:val="auto"/>
          <w:sz w:val="24"/>
          <w:szCs w:val="24"/>
          <w:highlight w:val="none"/>
        </w:rPr>
        <w:t>运行。要求将设备搬</w:t>
      </w:r>
      <w:r>
        <w:rPr>
          <w:rFonts w:hint="eastAsia" w:ascii="仿宋_GB2312" w:hAnsi="仿宋_GB2312" w:eastAsia="仿宋_GB2312" w:cs="仿宋_GB2312"/>
          <w:color w:val="auto"/>
          <w:sz w:val="24"/>
          <w:szCs w:val="24"/>
          <w:highlight w:val="none"/>
          <w:lang w:eastAsia="zh-CN"/>
        </w:rPr>
        <w:t>运</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z w:val="24"/>
          <w:szCs w:val="24"/>
          <w:highlight w:val="none"/>
          <w:lang w:eastAsia="zh-CN"/>
        </w:rPr>
        <w:t>新桥校区指定实训室</w:t>
      </w:r>
      <w:r>
        <w:rPr>
          <w:rFonts w:hint="eastAsia" w:ascii="仿宋_GB2312" w:hAnsi="仿宋_GB2312" w:eastAsia="仿宋_GB2312" w:cs="仿宋_GB2312"/>
          <w:color w:val="auto"/>
          <w:sz w:val="24"/>
          <w:szCs w:val="24"/>
          <w:highlight w:val="none"/>
        </w:rPr>
        <w:t>内，搬迁</w:t>
      </w:r>
      <w:r>
        <w:rPr>
          <w:rFonts w:hint="eastAsia" w:ascii="仿宋_GB2312" w:hAnsi="仿宋_GB2312" w:eastAsia="仿宋_GB2312" w:cs="仿宋_GB2312"/>
          <w:color w:val="auto"/>
          <w:sz w:val="24"/>
          <w:szCs w:val="24"/>
          <w:highlight w:val="none"/>
          <w:lang w:eastAsia="zh-CN"/>
        </w:rPr>
        <w:t>运输</w:t>
      </w:r>
      <w:r>
        <w:rPr>
          <w:rFonts w:hint="eastAsia" w:ascii="仿宋_GB2312" w:hAnsi="仿宋_GB2312" w:eastAsia="仿宋_GB2312" w:cs="仿宋_GB2312"/>
          <w:color w:val="auto"/>
          <w:sz w:val="24"/>
          <w:szCs w:val="24"/>
          <w:highlight w:val="none"/>
        </w:rPr>
        <w:t>过程中</w:t>
      </w:r>
      <w:r>
        <w:rPr>
          <w:rFonts w:hint="eastAsia" w:ascii="仿宋_GB2312" w:hAnsi="仿宋_GB2312" w:eastAsia="仿宋_GB2312" w:cs="仿宋_GB2312"/>
          <w:color w:val="auto"/>
          <w:sz w:val="24"/>
          <w:szCs w:val="24"/>
          <w:highlight w:val="none"/>
          <w:lang w:eastAsia="zh-CN"/>
        </w:rPr>
        <w:t>确保</w:t>
      </w:r>
      <w:r>
        <w:rPr>
          <w:rFonts w:hint="eastAsia" w:ascii="仿宋_GB2312" w:hAnsi="仿宋_GB2312" w:eastAsia="仿宋_GB2312" w:cs="仿宋_GB2312"/>
          <w:color w:val="auto"/>
          <w:sz w:val="24"/>
          <w:szCs w:val="24"/>
          <w:highlight w:val="none"/>
        </w:rPr>
        <w:t>设备</w:t>
      </w:r>
      <w:r>
        <w:rPr>
          <w:rFonts w:hint="eastAsia" w:ascii="仿宋_GB2312" w:hAnsi="仿宋_GB2312" w:eastAsia="仿宋_GB2312" w:cs="仿宋_GB2312"/>
          <w:color w:val="auto"/>
          <w:sz w:val="24"/>
          <w:szCs w:val="24"/>
          <w:highlight w:val="none"/>
          <w:lang w:eastAsia="zh-CN"/>
        </w:rPr>
        <w:t>的安全和</w:t>
      </w:r>
      <w:r>
        <w:rPr>
          <w:rFonts w:hint="eastAsia" w:ascii="仿宋_GB2312" w:hAnsi="仿宋_GB2312" w:eastAsia="仿宋_GB2312" w:cs="仿宋_GB2312"/>
          <w:color w:val="auto"/>
          <w:sz w:val="24"/>
          <w:szCs w:val="24"/>
          <w:highlight w:val="none"/>
        </w:rPr>
        <w:t>无损坏，搬迁</w:t>
      </w:r>
      <w:r>
        <w:rPr>
          <w:rFonts w:hint="eastAsia" w:ascii="仿宋_GB2312" w:hAnsi="仿宋_GB2312" w:eastAsia="仿宋_GB2312" w:cs="仿宋_GB2312"/>
          <w:color w:val="auto"/>
          <w:sz w:val="24"/>
          <w:szCs w:val="24"/>
          <w:highlight w:val="none"/>
          <w:lang w:eastAsia="zh-CN"/>
        </w:rPr>
        <w:t>到位</w:t>
      </w:r>
      <w:r>
        <w:rPr>
          <w:rFonts w:hint="eastAsia" w:ascii="仿宋_GB2312" w:hAnsi="仿宋_GB2312" w:eastAsia="仿宋_GB2312" w:cs="仿宋_GB2312"/>
          <w:color w:val="auto"/>
          <w:sz w:val="24"/>
          <w:szCs w:val="24"/>
          <w:highlight w:val="none"/>
        </w:rPr>
        <w:t>后的实训室恢复原有功能，能正常开展实训授课。</w:t>
      </w:r>
    </w:p>
    <w:p>
      <w:pPr>
        <w:spacing w:line="360" w:lineRule="auto"/>
        <w:ind w:firstLine="480" w:firstLineChars="200"/>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具体要求如下：</w:t>
      </w:r>
    </w:p>
    <w:p>
      <w:pPr>
        <w:spacing w:line="360" w:lineRule="auto"/>
        <w:ind w:firstLine="435"/>
        <w:rPr>
          <w:rFonts w:ascii="宋体" w:hAnsi="宋体" w:cs="宋体"/>
          <w:color w:val="auto"/>
          <w:sz w:val="24"/>
          <w:highlight w:val="none"/>
        </w:rPr>
      </w:pPr>
      <w:r>
        <w:rPr>
          <w:rFonts w:hint="eastAsia" w:ascii="仿宋_GB2312" w:hAnsi="仿宋_GB2312" w:eastAsia="仿宋_GB2312" w:cs="仿宋_GB2312"/>
          <w:color w:val="auto"/>
          <w:sz w:val="24"/>
          <w:szCs w:val="24"/>
          <w:highlight w:val="none"/>
        </w:rPr>
        <w:t>1、制定方案：搬迁服务供应商应提供详细的拆卸、搬迁及安装调试方案，制定搬迁步骤及注意事项，针对搬迁中的重点难点问题制定应急措施以及安全保障措施，</w:t>
      </w:r>
      <w:r>
        <w:rPr>
          <w:rFonts w:hint="eastAsia" w:ascii="宋体" w:hAnsi="宋体" w:cs="宋体"/>
          <w:color w:val="auto"/>
          <w:sz w:val="24"/>
          <w:highlight w:val="none"/>
        </w:rPr>
        <w:t>按照平面图组织小组成员到新址进行实际场地考察,对各</w:t>
      </w:r>
      <w:r>
        <w:rPr>
          <w:rFonts w:hint="eastAsia" w:ascii="宋体" w:hAnsi="宋体" w:cs="宋体"/>
          <w:color w:val="auto"/>
          <w:sz w:val="24"/>
          <w:highlight w:val="none"/>
          <w:lang w:eastAsia="zh-CN"/>
        </w:rPr>
        <w:t>实训</w:t>
      </w:r>
      <w:r>
        <w:rPr>
          <w:rFonts w:hint="eastAsia" w:ascii="宋体" w:hAnsi="宋体" w:cs="宋体"/>
          <w:color w:val="auto"/>
          <w:sz w:val="24"/>
          <w:highlight w:val="none"/>
        </w:rPr>
        <w:t>室新址进行迁入前实验室环境查检查情况并且进行确认用，单位有相关图纸则严格按照用户单位要求进行安装，所有方案经采购人同意后方可进场实施。</w:t>
      </w:r>
    </w:p>
    <w:p>
      <w:pPr>
        <w:spacing w:line="360" w:lineRule="auto"/>
        <w:ind w:firstLine="435"/>
        <w:rPr>
          <w:rFonts w:ascii="宋体" w:hAnsi="宋体" w:cs="宋体"/>
          <w:color w:val="auto"/>
          <w:sz w:val="24"/>
          <w:highlight w:val="none"/>
        </w:rPr>
      </w:pPr>
      <w:r>
        <w:rPr>
          <w:rFonts w:hint="eastAsia" w:ascii="仿宋_GB2312" w:hAnsi="仿宋_GB2312" w:eastAsia="仿宋_GB2312" w:cs="仿宋_GB2312"/>
          <w:color w:val="auto"/>
          <w:sz w:val="24"/>
          <w:szCs w:val="24"/>
          <w:highlight w:val="none"/>
        </w:rPr>
        <w:t>2、</w:t>
      </w:r>
      <w:r>
        <w:rPr>
          <w:rFonts w:hint="eastAsia" w:ascii="宋体" w:hAnsi="宋体" w:cs="宋体"/>
          <w:color w:val="auto"/>
          <w:sz w:val="24"/>
          <w:highlight w:val="none"/>
        </w:rPr>
        <w:t>清点核对：需搬迁的资产，在搬迁前后应仔细核对帐物，防止遗漏、丢失，由采购人负责监督，</w:t>
      </w:r>
      <w:r>
        <w:rPr>
          <w:rFonts w:hint="eastAsia" w:ascii="宋体" w:hAnsi="宋体" w:cs="宋体"/>
          <w:color w:val="auto"/>
          <w:sz w:val="24"/>
          <w:highlight w:val="none"/>
          <w:lang w:eastAsia="zh-CN"/>
        </w:rPr>
        <w:t>搬迁前中标单位</w:t>
      </w:r>
      <w:r>
        <w:rPr>
          <w:rFonts w:hint="eastAsia" w:ascii="宋体" w:hAnsi="宋体" w:cs="宋体"/>
          <w:color w:val="auto"/>
          <w:sz w:val="24"/>
          <w:highlight w:val="none"/>
        </w:rPr>
        <w:t>清点资产</w:t>
      </w:r>
      <w:r>
        <w:rPr>
          <w:rFonts w:hint="eastAsia" w:ascii="宋体" w:hAnsi="宋体" w:cs="宋体"/>
          <w:color w:val="auto"/>
          <w:sz w:val="24"/>
          <w:highlight w:val="none"/>
          <w:lang w:eastAsia="zh-CN"/>
        </w:rPr>
        <w:t>后</w:t>
      </w:r>
      <w:r>
        <w:rPr>
          <w:rFonts w:hint="eastAsia" w:ascii="宋体" w:hAnsi="宋体" w:cs="宋体"/>
          <w:color w:val="auto"/>
          <w:sz w:val="24"/>
          <w:highlight w:val="none"/>
        </w:rPr>
        <w:t>签字认可接受搬迁的资产。搬迁前应做好各方面准备，所有需搬迁设备登记备案，并在设备上做好相应标记。其中还包括仪器设备的检查：</w:t>
      </w:r>
    </w:p>
    <w:p>
      <w:pPr>
        <w:spacing w:line="360" w:lineRule="auto"/>
        <w:ind w:firstLine="435"/>
        <w:rPr>
          <w:rFonts w:ascii="宋体" w:hAnsi="宋体" w:cs="宋体"/>
          <w:color w:val="auto"/>
          <w:sz w:val="24"/>
          <w:highlight w:val="none"/>
        </w:rPr>
      </w:pPr>
      <w:r>
        <w:rPr>
          <w:rFonts w:hint="eastAsia" w:ascii="宋体" w:hAnsi="宋体" w:cs="宋体"/>
          <w:color w:val="auto"/>
          <w:sz w:val="24"/>
          <w:highlight w:val="none"/>
        </w:rPr>
        <w:t xml:space="preserve">①检验仪器设备的外观; </w:t>
      </w:r>
    </w:p>
    <w:p>
      <w:pPr>
        <w:spacing w:line="360" w:lineRule="auto"/>
        <w:ind w:firstLine="435"/>
        <w:rPr>
          <w:rFonts w:ascii="宋体" w:hAnsi="宋体" w:cs="宋体"/>
          <w:color w:val="auto"/>
          <w:sz w:val="24"/>
          <w:highlight w:val="none"/>
        </w:rPr>
      </w:pPr>
      <w:r>
        <w:rPr>
          <w:rFonts w:hint="eastAsia" w:ascii="宋体" w:hAnsi="宋体" w:cs="宋体"/>
          <w:color w:val="auto"/>
          <w:sz w:val="24"/>
          <w:highlight w:val="none"/>
        </w:rPr>
        <w:t>②确认仪器设备的技术参数、现行工作状态;</w:t>
      </w:r>
    </w:p>
    <w:p>
      <w:pPr>
        <w:spacing w:line="360" w:lineRule="auto"/>
        <w:ind w:firstLine="435"/>
        <w:rPr>
          <w:rFonts w:ascii="宋体" w:hAnsi="宋体" w:cs="宋体"/>
          <w:color w:val="auto"/>
          <w:sz w:val="24"/>
          <w:highlight w:val="none"/>
        </w:rPr>
      </w:pPr>
      <w:r>
        <w:rPr>
          <w:rFonts w:hint="eastAsia" w:ascii="宋体" w:hAnsi="宋体" w:cs="宋体"/>
          <w:color w:val="auto"/>
          <w:sz w:val="24"/>
          <w:highlight w:val="none"/>
        </w:rPr>
        <w:t>③检查仪器设备是否符合安全拆卸、搬运条件;</w:t>
      </w:r>
    </w:p>
    <w:p>
      <w:pPr>
        <w:spacing w:line="360" w:lineRule="auto"/>
        <w:ind w:firstLine="435"/>
        <w:rPr>
          <w:rFonts w:ascii="宋体" w:hAnsi="宋体" w:cs="宋体"/>
          <w:color w:val="auto"/>
          <w:sz w:val="24"/>
          <w:highlight w:val="none"/>
        </w:rPr>
      </w:pPr>
      <w:r>
        <w:rPr>
          <w:rFonts w:hint="eastAsia" w:ascii="宋体" w:hAnsi="宋体" w:cs="宋体"/>
          <w:color w:val="auto"/>
          <w:sz w:val="24"/>
          <w:highlight w:val="none"/>
        </w:rPr>
        <w:t>④检查仪器设备有无安装附件;</w:t>
      </w:r>
    </w:p>
    <w:p>
      <w:pPr>
        <w:spacing w:line="360" w:lineRule="auto"/>
        <w:ind w:firstLine="435"/>
        <w:rPr>
          <w:rFonts w:hint="eastAsia" w:ascii="宋体" w:hAnsi="宋体" w:cs="宋体"/>
          <w:color w:val="auto"/>
          <w:sz w:val="24"/>
          <w:highlight w:val="none"/>
        </w:rPr>
      </w:pPr>
      <w:r>
        <w:rPr>
          <w:rFonts w:hint="eastAsia" w:ascii="宋体" w:hAnsi="宋体" w:cs="宋体"/>
          <w:color w:val="auto"/>
          <w:sz w:val="24"/>
          <w:highlight w:val="none"/>
        </w:rPr>
        <w:t>⑤对结构复杂、专用仪器设备以及外观有破损的仪器设备进行拍照确认。具体搬迁的物品及数量见搬迁物品明细表。</w:t>
      </w:r>
    </w:p>
    <w:p>
      <w:pPr>
        <w:spacing w:line="360" w:lineRule="auto"/>
        <w:ind w:firstLine="435"/>
        <w:rPr>
          <w:rFonts w:ascii="宋体" w:hAnsi="宋体" w:cs="宋体"/>
          <w:color w:val="auto"/>
          <w:sz w:val="24"/>
          <w:highlight w:val="none"/>
        </w:rPr>
      </w:pPr>
      <w:r>
        <w:rPr>
          <w:rFonts w:hint="eastAsia" w:ascii="仿宋_GB2312" w:hAnsi="仿宋_GB2312" w:eastAsia="仿宋_GB2312" w:cs="仿宋_GB2312"/>
          <w:color w:val="auto"/>
          <w:sz w:val="24"/>
          <w:szCs w:val="24"/>
          <w:highlight w:val="none"/>
        </w:rPr>
        <w:t>3、设备拆</w:t>
      </w:r>
      <w:r>
        <w:rPr>
          <w:rFonts w:hint="eastAsia" w:ascii="仿宋_GB2312" w:hAnsi="仿宋_GB2312" w:eastAsia="仿宋_GB2312" w:cs="仿宋_GB2312"/>
          <w:color w:val="auto"/>
          <w:sz w:val="24"/>
          <w:szCs w:val="24"/>
          <w:highlight w:val="none"/>
          <w:lang w:eastAsia="zh-CN"/>
        </w:rPr>
        <w:t>卸</w:t>
      </w:r>
      <w:r>
        <w:rPr>
          <w:rFonts w:hint="eastAsia" w:ascii="仿宋_GB2312" w:hAnsi="仿宋_GB2312" w:eastAsia="仿宋_GB2312" w:cs="仿宋_GB2312"/>
          <w:color w:val="auto"/>
          <w:sz w:val="24"/>
          <w:szCs w:val="24"/>
          <w:highlight w:val="none"/>
        </w:rPr>
        <w:t>：</w:t>
      </w:r>
      <w:r>
        <w:rPr>
          <w:rFonts w:hint="eastAsia" w:ascii="宋体" w:hAnsi="宋体" w:cs="宋体"/>
          <w:color w:val="auto"/>
          <w:sz w:val="24"/>
          <w:highlight w:val="none"/>
        </w:rPr>
        <w:t>根据采购人要求，按时将需搬迁的所有设备，按照规定拆除，同时做好相应标记，分类放置。专业性、技术性强的设备拆装需要设备厂家技术人员现场指导，由成交供应商负责联系落实，并承担厂家技术人员的一切费用。所有参加施工人员均应熟悉现场安全操作区域、了解搬迁流程做到安全施工、保证仪器设备安全拆卸,封包搬运。</w:t>
      </w:r>
    </w:p>
    <w:p>
      <w:pPr>
        <w:spacing w:line="360" w:lineRule="auto"/>
        <w:ind w:firstLine="435"/>
        <w:rPr>
          <w:rFonts w:ascii="宋体" w:hAnsi="宋体" w:cs="宋体"/>
          <w:color w:val="auto"/>
          <w:sz w:val="24"/>
          <w:highlight w:val="none"/>
        </w:rPr>
      </w:pPr>
      <w:r>
        <w:rPr>
          <w:rFonts w:hint="eastAsia" w:ascii="仿宋_GB2312" w:hAnsi="仿宋_GB2312" w:eastAsia="仿宋_GB2312" w:cs="仿宋_GB2312"/>
          <w:color w:val="auto"/>
          <w:sz w:val="24"/>
          <w:szCs w:val="24"/>
          <w:highlight w:val="none"/>
        </w:rPr>
        <w:t>4、</w:t>
      </w:r>
      <w:r>
        <w:rPr>
          <w:rFonts w:hint="eastAsia" w:ascii="仿宋_GB2312" w:hAnsi="仿宋_GB2312" w:eastAsia="仿宋_GB2312" w:cs="仿宋_GB2312"/>
          <w:color w:val="auto"/>
          <w:sz w:val="24"/>
          <w:szCs w:val="24"/>
          <w:highlight w:val="none"/>
          <w:lang w:eastAsia="zh-CN"/>
        </w:rPr>
        <w:t>打包：</w:t>
      </w:r>
      <w:r>
        <w:rPr>
          <w:rFonts w:hint="eastAsia" w:ascii="宋体" w:hAnsi="宋体" w:cs="宋体"/>
          <w:color w:val="auto"/>
          <w:sz w:val="24"/>
          <w:highlight w:val="none"/>
        </w:rPr>
        <w:t>需要成交</w:t>
      </w:r>
      <w:r>
        <w:rPr>
          <w:rFonts w:hint="eastAsia" w:ascii="宋体" w:hAnsi="宋体" w:cs="宋体"/>
          <w:color w:val="auto"/>
          <w:sz w:val="24"/>
          <w:highlight w:val="none"/>
          <w:lang w:eastAsia="zh-CN"/>
        </w:rPr>
        <w:t>中标单位</w:t>
      </w:r>
      <w:r>
        <w:rPr>
          <w:rFonts w:hint="eastAsia" w:ascii="宋体" w:hAnsi="宋体" w:cs="宋体"/>
          <w:color w:val="auto"/>
          <w:sz w:val="24"/>
          <w:highlight w:val="none"/>
        </w:rPr>
        <w:t>自备包装相关材料，以实训室或系统为单位，由采购人相关实训室负责人负责监督，</w:t>
      </w:r>
      <w:r>
        <w:rPr>
          <w:rFonts w:hint="eastAsia" w:ascii="宋体" w:hAnsi="宋体" w:cs="宋体"/>
          <w:color w:val="auto"/>
          <w:sz w:val="24"/>
          <w:highlight w:val="none"/>
          <w:lang w:eastAsia="zh-CN"/>
        </w:rPr>
        <w:t>中标单位</w:t>
      </w:r>
      <w:r>
        <w:rPr>
          <w:rFonts w:hint="eastAsia" w:ascii="宋体" w:hAnsi="宋体" w:cs="宋体"/>
          <w:color w:val="auto"/>
          <w:sz w:val="24"/>
          <w:highlight w:val="none"/>
        </w:rPr>
        <w:t>进行打包并在每个包装盒外贴资产标签，清点资产进行登记。各种标识和定位标记，必须标识清晰,粘贴必须牢靠,以免因</w:t>
      </w:r>
      <w:r>
        <w:rPr>
          <w:rFonts w:hint="eastAsia" w:ascii="宋体" w:hAnsi="宋体" w:cs="宋体"/>
          <w:color w:val="auto"/>
          <w:sz w:val="24"/>
          <w:highlight w:val="none"/>
          <w:lang w:eastAsia="zh-CN"/>
        </w:rPr>
        <w:t>搬运、装卸和</w:t>
      </w:r>
      <w:r>
        <w:rPr>
          <w:rFonts w:hint="eastAsia" w:ascii="宋体" w:hAnsi="宋体" w:cs="宋体"/>
          <w:color w:val="auto"/>
          <w:sz w:val="24"/>
          <w:highlight w:val="none"/>
        </w:rPr>
        <w:t>运输等原因</w:t>
      </w:r>
      <w:r>
        <w:rPr>
          <w:rFonts w:hint="eastAsia" w:ascii="宋体" w:hAnsi="宋体" w:cs="宋体"/>
          <w:color w:val="auto"/>
          <w:sz w:val="24"/>
          <w:highlight w:val="none"/>
          <w:lang w:eastAsia="zh-CN"/>
        </w:rPr>
        <w:t>造成</w:t>
      </w:r>
      <w:r>
        <w:rPr>
          <w:rFonts w:hint="eastAsia" w:ascii="宋体" w:hAnsi="宋体" w:cs="宋体"/>
          <w:color w:val="auto"/>
          <w:sz w:val="24"/>
          <w:highlight w:val="none"/>
        </w:rPr>
        <w:t>损坏和模糊,影响安装。</w:t>
      </w:r>
    </w:p>
    <w:p>
      <w:pPr>
        <w:spacing w:line="360" w:lineRule="auto"/>
        <w:ind w:firstLine="435"/>
        <w:rPr>
          <w:color w:val="auto"/>
          <w:highlight w:val="none"/>
        </w:rPr>
      </w:pPr>
      <w:r>
        <w:rPr>
          <w:rFonts w:hint="eastAsia" w:ascii="仿宋_GB2312" w:hAnsi="仿宋_GB2312" w:eastAsia="仿宋_GB2312" w:cs="仿宋_GB2312"/>
          <w:color w:val="auto"/>
          <w:sz w:val="24"/>
          <w:szCs w:val="24"/>
          <w:highlight w:val="none"/>
        </w:rPr>
        <w:t>5、</w:t>
      </w:r>
      <w:r>
        <w:rPr>
          <w:rFonts w:hint="eastAsia" w:ascii="仿宋_GB2312" w:hAnsi="仿宋_GB2312" w:eastAsia="仿宋_GB2312" w:cs="仿宋_GB2312"/>
          <w:color w:val="auto"/>
          <w:sz w:val="24"/>
          <w:szCs w:val="24"/>
          <w:highlight w:val="none"/>
          <w:lang w:eastAsia="zh-CN"/>
        </w:rPr>
        <w:t>运输</w:t>
      </w:r>
      <w:r>
        <w:rPr>
          <w:rFonts w:hint="eastAsia" w:ascii="仿宋_GB2312" w:hAnsi="仿宋_GB2312" w:eastAsia="仿宋_GB2312" w:cs="仿宋_GB2312"/>
          <w:color w:val="auto"/>
          <w:sz w:val="24"/>
          <w:szCs w:val="24"/>
          <w:highlight w:val="none"/>
        </w:rPr>
        <w:t>：</w:t>
      </w:r>
      <w:r>
        <w:rPr>
          <w:rFonts w:hint="eastAsia" w:ascii="宋体" w:hAnsi="宋体" w:cs="宋体"/>
          <w:color w:val="auto"/>
          <w:sz w:val="24"/>
          <w:highlight w:val="none"/>
        </w:rPr>
        <w:t>搬运分物品搬运上车阶段、运输阶段、卸货搬运至指定空间（指定实训室或教室空间内）阶段，该过程由成交供应商负责。在运输过程中全程跟人[装车、卸车、摆放</w:t>
      </w:r>
      <w:r>
        <w:rPr>
          <w:rFonts w:ascii="宋体" w:hAnsi="宋体" w:cs="宋体"/>
          <w:color w:val="auto"/>
          <w:sz w:val="24"/>
          <w:highlight w:val="none"/>
        </w:rPr>
        <w:t>]</w:t>
      </w:r>
      <w:r>
        <w:rPr>
          <w:rFonts w:hint="eastAsia" w:ascii="宋体" w:hAnsi="宋体" w:cs="宋体"/>
          <w:color w:val="auto"/>
          <w:sz w:val="24"/>
          <w:highlight w:val="none"/>
        </w:rPr>
        <w:t>整个过程不离人,保证物品无损、无遗失;在搬迁运输过程中,对重要、易损的部位、物件做好防护。大型设备与</w:t>
      </w:r>
      <w:r>
        <w:rPr>
          <w:rFonts w:hint="eastAsia" w:ascii="宋体" w:hAnsi="宋体" w:cs="宋体"/>
          <w:color w:val="auto"/>
          <w:sz w:val="24"/>
          <w:highlight w:val="none"/>
          <w:lang w:eastAsia="zh-CN"/>
        </w:rPr>
        <w:t>救生艇装置</w:t>
      </w:r>
      <w:r>
        <w:rPr>
          <w:rFonts w:hint="eastAsia" w:ascii="宋体" w:hAnsi="宋体" w:cs="宋体"/>
          <w:color w:val="auto"/>
          <w:sz w:val="24"/>
          <w:highlight w:val="none"/>
        </w:rPr>
        <w:t>，应选择专用货车运输，防止运输过程中造成损伤（如有损坏按价赔偿）。</w:t>
      </w:r>
    </w:p>
    <w:p>
      <w:pPr>
        <w:spacing w:line="360" w:lineRule="auto"/>
        <w:ind w:firstLine="435"/>
        <w:rPr>
          <w:rFonts w:ascii="宋体" w:hAnsi="宋体" w:cs="宋体"/>
          <w:color w:val="auto"/>
          <w:sz w:val="24"/>
          <w:highlight w:val="none"/>
        </w:rPr>
      </w:pPr>
      <w:r>
        <w:rPr>
          <w:rFonts w:hint="eastAsia" w:ascii="仿宋_GB2312" w:hAnsi="仿宋_GB2312" w:eastAsia="仿宋_GB2312" w:cs="仿宋_GB2312"/>
          <w:color w:val="auto"/>
          <w:sz w:val="24"/>
          <w:szCs w:val="24"/>
          <w:highlight w:val="none"/>
        </w:rPr>
        <w:t>6、拆箱：</w:t>
      </w:r>
      <w:r>
        <w:rPr>
          <w:rFonts w:hint="eastAsia" w:ascii="宋体" w:hAnsi="宋体" w:cs="宋体"/>
          <w:color w:val="auto"/>
          <w:sz w:val="24"/>
          <w:highlight w:val="none"/>
        </w:rPr>
        <w:t>搬迁服务</w:t>
      </w:r>
      <w:r>
        <w:rPr>
          <w:rFonts w:hint="eastAsia" w:ascii="宋体" w:hAnsi="宋体" w:cs="宋体"/>
          <w:color w:val="auto"/>
          <w:sz w:val="24"/>
          <w:highlight w:val="none"/>
          <w:lang w:eastAsia="zh-CN"/>
        </w:rPr>
        <w:t>中标单位</w:t>
      </w:r>
      <w:r>
        <w:rPr>
          <w:rFonts w:hint="eastAsia" w:ascii="宋体" w:hAnsi="宋体" w:cs="宋体"/>
          <w:color w:val="auto"/>
          <w:sz w:val="24"/>
          <w:highlight w:val="none"/>
        </w:rPr>
        <w:t>搬迁至采购人指定地点（实训室、教室或办公室）安全运送到位，并由该区域负责人监督拆卸过程，并检查搬迁物品是否完好。拆卸仪器设备时,必须先熟悉相关图纸及设备,禁止盲目操作且须注意不得损坏设备及设施。</w:t>
      </w:r>
      <w:r>
        <w:rPr>
          <w:rFonts w:hint="eastAsia" w:ascii="宋体" w:hAnsi="宋体" w:cs="宋体"/>
          <w:color w:val="auto"/>
          <w:sz w:val="24"/>
          <w:highlight w:val="none"/>
          <w:lang w:eastAsia="zh-CN"/>
        </w:rPr>
        <w:t>中标方</w:t>
      </w:r>
      <w:r>
        <w:rPr>
          <w:rFonts w:hint="eastAsia" w:ascii="宋体" w:hAnsi="宋体" w:cs="宋体"/>
          <w:color w:val="auto"/>
          <w:sz w:val="24"/>
          <w:highlight w:val="none"/>
        </w:rPr>
        <w:t>现场应配备专职安检员，及时检查和清除不安全因素：做到文明施工，及时清理现场和废物。</w:t>
      </w:r>
    </w:p>
    <w:p>
      <w:pPr>
        <w:spacing w:line="360" w:lineRule="auto"/>
        <w:ind w:firstLine="480" w:firstLineChars="200"/>
        <w:jc w:val="left"/>
        <w:rPr>
          <w:rFonts w:ascii="仿宋_GB2312" w:hAnsi="仿宋_GB2312" w:eastAsia="仿宋_GB2312" w:cs="仿宋_GB2312"/>
          <w:color w:val="auto"/>
          <w:sz w:val="24"/>
          <w:szCs w:val="24"/>
          <w:highlight w:val="none"/>
        </w:rPr>
      </w:pPr>
      <w:r>
        <w:rPr>
          <w:rFonts w:hint="eastAsia" w:ascii="宋体" w:hAnsi="宋体" w:cs="宋体"/>
          <w:color w:val="auto"/>
          <w:sz w:val="24"/>
          <w:highlight w:val="none"/>
        </w:rPr>
        <w:t>7</w:t>
      </w:r>
      <w:r>
        <w:rPr>
          <w:rFonts w:hint="eastAsia" w:ascii="宋体" w:hAnsi="宋体" w:cs="宋体"/>
          <w:color w:val="auto"/>
          <w:sz w:val="24"/>
          <w:highlight w:val="none"/>
          <w:lang w:eastAsia="zh-CN"/>
        </w:rPr>
        <w:t>、</w:t>
      </w:r>
      <w:r>
        <w:rPr>
          <w:rFonts w:ascii="宋体" w:hAnsi="宋体" w:cs="宋体"/>
          <w:color w:val="auto"/>
          <w:sz w:val="24"/>
          <w:highlight w:val="none"/>
        </w:rPr>
        <w:t>超</w:t>
      </w:r>
      <w:r>
        <w:rPr>
          <w:rFonts w:hint="eastAsia" w:ascii="宋体" w:hAnsi="宋体" w:cs="宋体"/>
          <w:color w:val="auto"/>
          <w:sz w:val="24"/>
          <w:highlight w:val="none"/>
          <w:lang w:eastAsia="zh-CN"/>
        </w:rPr>
        <w:t>长超</w:t>
      </w:r>
      <w:r>
        <w:rPr>
          <w:rFonts w:ascii="宋体" w:hAnsi="宋体" w:cs="宋体"/>
          <w:color w:val="auto"/>
          <w:sz w:val="24"/>
          <w:highlight w:val="none"/>
        </w:rPr>
        <w:t>重物品</w:t>
      </w:r>
      <w:r>
        <w:rPr>
          <w:rFonts w:hint="eastAsia" w:ascii="宋体" w:hAnsi="宋体" w:cs="宋体"/>
          <w:color w:val="auto"/>
          <w:sz w:val="24"/>
          <w:highlight w:val="none"/>
          <w:lang w:eastAsia="zh-CN"/>
        </w:rPr>
        <w:t>：</w:t>
      </w:r>
      <w:r>
        <w:rPr>
          <w:rFonts w:ascii="宋体" w:hAnsi="宋体" w:cs="宋体"/>
          <w:color w:val="auto"/>
          <w:sz w:val="24"/>
          <w:highlight w:val="none"/>
        </w:rPr>
        <w:t>要合理安排运输卡车的空间,搬迁完成后,留下专人,负责检查，实验室是否有应搬而未搬的物品、淘汰桌、柜中是否清空等,打扫好原实验室卫生,关好门窗、水电。</w:t>
      </w:r>
    </w:p>
    <w:p>
      <w:pPr>
        <w:spacing w:line="360" w:lineRule="auto"/>
        <w:ind w:firstLine="240" w:firstLineChars="100"/>
        <w:rPr>
          <w:rFonts w:ascii="宋体" w:hAnsi="宋体" w:cs="宋体"/>
          <w:color w:val="auto"/>
          <w:sz w:val="24"/>
          <w:highlight w:val="none"/>
        </w:rPr>
      </w:pP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w:t>
      </w:r>
      <w:r>
        <w:rPr>
          <w:rFonts w:hint="eastAsia" w:ascii="宋体" w:hAnsi="宋体" w:cs="宋体"/>
          <w:color w:val="auto"/>
          <w:sz w:val="24"/>
          <w:highlight w:val="none"/>
        </w:rPr>
        <w:t>搬迁过程</w:t>
      </w:r>
      <w:r>
        <w:rPr>
          <w:rFonts w:hint="eastAsia" w:ascii="宋体" w:hAnsi="宋体" w:cs="宋体"/>
          <w:color w:val="auto"/>
          <w:sz w:val="24"/>
          <w:highlight w:val="none"/>
          <w:lang w:eastAsia="zh-CN"/>
        </w:rPr>
        <w:t>：</w:t>
      </w:r>
      <w:r>
        <w:rPr>
          <w:rFonts w:hint="eastAsia" w:ascii="宋体" w:hAnsi="宋体" w:cs="宋体"/>
          <w:color w:val="auto"/>
          <w:sz w:val="24"/>
          <w:highlight w:val="none"/>
        </w:rPr>
        <w:t>应爱护迁出和迁入房舍的环境及基础设施，避免磕碰损坏，组织做好所搬迁的仪器设备、物品等的登记、编号、交接、清点等工作，有序搬迁，确保仪器、设备、物品等及时清点就位，不得损坏和丢失，若有损坏和丢失的按原价值赔偿。</w:t>
      </w:r>
      <w:r>
        <w:rPr>
          <w:rFonts w:hint="eastAsia" w:ascii="宋体" w:hAnsi="宋体" w:cs="宋体"/>
          <w:color w:val="auto"/>
          <w:sz w:val="24"/>
          <w:highlight w:val="none"/>
          <w:lang w:eastAsia="zh-CN"/>
        </w:rPr>
        <w:t>中标单位</w:t>
      </w:r>
      <w:r>
        <w:rPr>
          <w:rFonts w:hint="eastAsia" w:ascii="宋体" w:hAnsi="宋体" w:cs="宋体"/>
          <w:color w:val="auto"/>
          <w:sz w:val="24"/>
          <w:highlight w:val="none"/>
        </w:rPr>
        <w:t xml:space="preserve">针对需搬迁实训室或系统应配有相应的专业技术人员进行设备的拆卸、搬运、安装及调试，保证所有搬迁的仪器设备安全、无损伤地安装到位。 </w:t>
      </w:r>
    </w:p>
    <w:p>
      <w:pPr>
        <w:spacing w:line="360" w:lineRule="auto"/>
        <w:ind w:firstLine="480" w:firstLineChars="200"/>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设备安装：</w:t>
      </w:r>
      <w:r>
        <w:rPr>
          <w:rFonts w:hint="eastAsia" w:ascii="仿宋_GB2312" w:hAnsi="仿宋_GB2312" w:eastAsia="仿宋_GB2312" w:cs="仿宋_GB2312"/>
          <w:color w:val="auto"/>
          <w:sz w:val="24"/>
          <w:szCs w:val="24"/>
          <w:highlight w:val="none"/>
        </w:rPr>
        <w:t>仪器设备</w:t>
      </w:r>
      <w:r>
        <w:rPr>
          <w:rFonts w:hint="eastAsia" w:ascii="仿宋_GB2312" w:hAnsi="仿宋_GB2312" w:eastAsia="仿宋_GB2312" w:cs="仿宋_GB2312"/>
          <w:color w:val="auto"/>
          <w:sz w:val="24"/>
          <w:szCs w:val="24"/>
          <w:highlight w:val="none"/>
          <w:lang w:eastAsia="zh-CN"/>
        </w:rPr>
        <w:t>搬运至新桥校区</w:t>
      </w:r>
      <w:r>
        <w:rPr>
          <w:rFonts w:hint="eastAsia" w:ascii="仿宋_GB2312" w:hAnsi="仿宋_GB2312" w:eastAsia="仿宋_GB2312" w:cs="仿宋_GB2312"/>
          <w:color w:val="auto"/>
          <w:sz w:val="24"/>
          <w:szCs w:val="24"/>
          <w:highlight w:val="none"/>
        </w:rPr>
        <w:t>到位后，应进行全面检查、调试，各类仪器设备完好无损，仪器设备性能、精度与搬迁前的标准要求一样，恢复原有实训室使用功能。专业设备拆卸运输及安装应由成</w:t>
      </w:r>
      <w:r>
        <w:rPr>
          <w:rFonts w:hint="eastAsia" w:ascii="仿宋_GB2312" w:hAnsi="仿宋_GB2312" w:eastAsia="仿宋_GB2312" w:cs="仿宋_GB2312"/>
          <w:color w:val="auto"/>
          <w:sz w:val="24"/>
          <w:szCs w:val="24"/>
          <w:highlight w:val="none"/>
          <w:lang w:eastAsia="zh-CN"/>
        </w:rPr>
        <w:t>中标单位</w:t>
      </w:r>
      <w:r>
        <w:rPr>
          <w:rFonts w:hint="eastAsia" w:ascii="仿宋_GB2312" w:hAnsi="仿宋_GB2312" w:eastAsia="仿宋_GB2312" w:cs="仿宋_GB2312"/>
          <w:color w:val="auto"/>
          <w:sz w:val="24"/>
          <w:szCs w:val="24"/>
          <w:highlight w:val="none"/>
        </w:rPr>
        <w:t>指定的专业人员完成，重新安装的各类教学设备的各项功能、性能、精度应</w:t>
      </w:r>
      <w:r>
        <w:rPr>
          <w:rFonts w:hint="eastAsia" w:ascii="仿宋_GB2312" w:hAnsi="仿宋_GB2312" w:eastAsia="仿宋_GB2312" w:cs="仿宋_GB2312"/>
          <w:color w:val="auto"/>
          <w:sz w:val="24"/>
          <w:szCs w:val="24"/>
          <w:highlight w:val="none"/>
          <w:lang w:eastAsia="zh-CN"/>
        </w:rPr>
        <w:t>与</w:t>
      </w:r>
      <w:r>
        <w:rPr>
          <w:rFonts w:hint="eastAsia" w:ascii="仿宋_GB2312" w:hAnsi="仿宋_GB2312" w:eastAsia="仿宋_GB2312" w:cs="仿宋_GB2312"/>
          <w:color w:val="auto"/>
          <w:sz w:val="24"/>
          <w:szCs w:val="24"/>
          <w:highlight w:val="none"/>
        </w:rPr>
        <w:t>拆除前的</w:t>
      </w:r>
      <w:r>
        <w:rPr>
          <w:rFonts w:hint="eastAsia" w:ascii="仿宋_GB2312" w:hAnsi="仿宋_GB2312" w:eastAsia="仿宋_GB2312" w:cs="仿宋_GB2312"/>
          <w:color w:val="auto"/>
          <w:sz w:val="24"/>
          <w:szCs w:val="24"/>
          <w:highlight w:val="none"/>
          <w:lang w:eastAsia="zh-CN"/>
        </w:rPr>
        <w:t>各项设备功能相同</w:t>
      </w:r>
      <w:r>
        <w:rPr>
          <w:rFonts w:hint="eastAsia" w:ascii="仿宋_GB2312" w:hAnsi="仿宋_GB2312" w:eastAsia="仿宋_GB2312" w:cs="仿宋_GB2312"/>
          <w:color w:val="auto"/>
          <w:sz w:val="24"/>
          <w:szCs w:val="24"/>
          <w:highlight w:val="none"/>
        </w:rPr>
        <w:t>确保搬迁结束后设备功能正常，与搬迁前一致。</w:t>
      </w:r>
    </w:p>
    <w:p>
      <w:pPr>
        <w:spacing w:line="360" w:lineRule="auto"/>
        <w:ind w:firstLine="435"/>
        <w:rPr>
          <w:rFonts w:ascii="宋体" w:hAnsi="宋体" w:cs="宋体"/>
          <w:color w:val="auto"/>
          <w:sz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0</w:t>
      </w:r>
      <w:r>
        <w:rPr>
          <w:rFonts w:hint="eastAsia" w:ascii="仿宋_GB2312" w:hAnsi="仿宋_GB2312" w:eastAsia="仿宋_GB2312" w:cs="仿宋_GB2312"/>
          <w:color w:val="auto"/>
          <w:sz w:val="24"/>
          <w:szCs w:val="24"/>
          <w:highlight w:val="none"/>
        </w:rPr>
        <w:t>、</w:t>
      </w:r>
      <w:r>
        <w:rPr>
          <w:rFonts w:hint="eastAsia" w:ascii="宋体" w:hAnsi="宋体" w:cs="宋体"/>
          <w:color w:val="auto"/>
          <w:sz w:val="24"/>
          <w:highlight w:val="none"/>
        </w:rPr>
        <w:t>验收</w:t>
      </w:r>
      <w:r>
        <w:rPr>
          <w:rFonts w:hint="eastAsia" w:ascii="宋体" w:hAnsi="宋体" w:cs="宋体"/>
          <w:color w:val="auto"/>
          <w:sz w:val="24"/>
          <w:highlight w:val="none"/>
          <w:lang w:eastAsia="zh-CN"/>
        </w:rPr>
        <w:t>要求</w:t>
      </w:r>
      <w:r>
        <w:rPr>
          <w:rFonts w:hint="eastAsia" w:ascii="宋体" w:hAnsi="宋体" w:cs="宋体"/>
          <w:color w:val="auto"/>
          <w:sz w:val="24"/>
          <w:highlight w:val="none"/>
        </w:rPr>
        <w:t>：所有仪器设备、重型设备、专业设备及系统、配套设施、实训设备设施、资料等应按照要求搬迁到位和安装调试，且所有电子设备通电后能正常工作，软件需按要求安装调试并交付使用；所有搬迁仪器设备及物品没有损坏、丢失，仪器设备性能、精度没有降低；搬迁后各实训室必须回复到原有功能状态。</w:t>
      </w:r>
    </w:p>
    <w:p>
      <w:pPr>
        <w:spacing w:line="360" w:lineRule="auto"/>
        <w:ind w:firstLine="480" w:firstLineChars="200"/>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中标单位</w:t>
      </w:r>
      <w:r>
        <w:rPr>
          <w:rFonts w:hint="eastAsia" w:ascii="仿宋_GB2312" w:hAnsi="仿宋_GB2312" w:eastAsia="仿宋_GB2312" w:cs="仿宋_GB2312"/>
          <w:color w:val="auto"/>
          <w:sz w:val="24"/>
          <w:szCs w:val="24"/>
          <w:highlight w:val="none"/>
        </w:rPr>
        <w:t>在项目实施</w:t>
      </w:r>
      <w:r>
        <w:rPr>
          <w:rFonts w:hint="eastAsia" w:ascii="仿宋_GB2312" w:hAnsi="仿宋_GB2312" w:eastAsia="仿宋_GB2312" w:cs="仿宋_GB2312"/>
          <w:color w:val="auto"/>
          <w:sz w:val="24"/>
          <w:szCs w:val="24"/>
          <w:highlight w:val="none"/>
          <w:lang w:eastAsia="zh-CN"/>
        </w:rPr>
        <w:t>前</w:t>
      </w:r>
      <w:r>
        <w:rPr>
          <w:rFonts w:hint="eastAsia" w:ascii="仿宋_GB2312" w:hAnsi="仿宋_GB2312" w:eastAsia="仿宋_GB2312" w:cs="仿宋_GB2312"/>
          <w:color w:val="auto"/>
          <w:sz w:val="24"/>
          <w:szCs w:val="24"/>
          <w:highlight w:val="none"/>
        </w:rPr>
        <w:t>应做好足够的安全防范措施，按安全规范操作，为相关人员和第三方购买人身保险，特种作业人员应由搬迁服务供应商审核其作业资质。若出现安全事故，所有责任由</w:t>
      </w:r>
      <w:r>
        <w:rPr>
          <w:rFonts w:hint="eastAsia" w:ascii="仿宋_GB2312" w:hAnsi="仿宋_GB2312" w:eastAsia="仿宋_GB2312" w:cs="仿宋_GB2312"/>
          <w:color w:val="auto"/>
          <w:sz w:val="24"/>
          <w:szCs w:val="24"/>
          <w:highlight w:val="none"/>
          <w:lang w:eastAsia="zh-CN"/>
        </w:rPr>
        <w:t>中标单位</w:t>
      </w:r>
      <w:r>
        <w:rPr>
          <w:rFonts w:hint="eastAsia" w:ascii="仿宋_GB2312" w:hAnsi="仿宋_GB2312" w:eastAsia="仿宋_GB2312" w:cs="仿宋_GB2312"/>
          <w:color w:val="auto"/>
          <w:sz w:val="24"/>
          <w:szCs w:val="24"/>
          <w:highlight w:val="none"/>
        </w:rPr>
        <w:t>负责。</w:t>
      </w:r>
    </w:p>
    <w:p>
      <w:pPr>
        <w:spacing w:line="360" w:lineRule="auto"/>
        <w:ind w:firstLine="435"/>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2</w:t>
      </w:r>
      <w:r>
        <w:rPr>
          <w:rFonts w:hint="eastAsia" w:ascii="宋体" w:hAnsi="宋体" w:cs="宋体"/>
          <w:color w:val="auto"/>
          <w:sz w:val="24"/>
          <w:highlight w:val="none"/>
          <w:lang w:eastAsia="zh-CN"/>
        </w:rPr>
        <w:t>、</w:t>
      </w:r>
      <w:r>
        <w:rPr>
          <w:rFonts w:hint="eastAsia" w:ascii="宋体" w:hAnsi="宋体" w:cs="宋体"/>
          <w:color w:val="auto"/>
          <w:sz w:val="24"/>
          <w:highlight w:val="none"/>
        </w:rPr>
        <w:t>除了重大灾害等不可抗力或采购人另有要求并书面同意可以延期，</w:t>
      </w:r>
      <w:r>
        <w:rPr>
          <w:rFonts w:hint="eastAsia" w:ascii="宋体" w:hAnsi="宋体" w:cs="宋体"/>
          <w:color w:val="auto"/>
          <w:sz w:val="24"/>
          <w:highlight w:val="none"/>
          <w:lang w:eastAsia="zh-CN"/>
        </w:rPr>
        <w:t>中标单位</w:t>
      </w:r>
      <w:r>
        <w:rPr>
          <w:rFonts w:hint="eastAsia" w:ascii="宋体" w:hAnsi="宋体" w:cs="宋体"/>
          <w:color w:val="auto"/>
          <w:sz w:val="24"/>
          <w:highlight w:val="none"/>
        </w:rPr>
        <w:t xml:space="preserve">必须在规定期限内按工程量清单及要求按期完工。 </w:t>
      </w:r>
    </w:p>
    <w:p>
      <w:pPr>
        <w:spacing w:line="360" w:lineRule="auto"/>
        <w:ind w:firstLine="435"/>
        <w:rPr>
          <w:rFonts w:ascii="仿宋_GB2312" w:hAnsi="仿宋_GB2312" w:eastAsia="仿宋_GB2312" w:cs="仿宋_GB2312"/>
          <w:color w:val="auto"/>
          <w:sz w:val="24"/>
          <w:szCs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3、</w:t>
      </w:r>
      <w:r>
        <w:rPr>
          <w:rFonts w:hint="eastAsia" w:ascii="仿宋_GB2312" w:hAnsi="仿宋_GB2312" w:eastAsia="仿宋_GB2312" w:cs="仿宋_GB2312"/>
          <w:color w:val="auto"/>
          <w:sz w:val="24"/>
          <w:szCs w:val="24"/>
          <w:highlight w:val="none"/>
        </w:rPr>
        <w:t>具体搬迁</w:t>
      </w:r>
      <w:r>
        <w:rPr>
          <w:rFonts w:hint="eastAsia" w:ascii="仿宋_GB2312" w:hAnsi="仿宋_GB2312" w:eastAsia="仿宋_GB2312" w:cs="仿宋_GB2312"/>
          <w:color w:val="auto"/>
          <w:sz w:val="24"/>
          <w:szCs w:val="24"/>
          <w:highlight w:val="none"/>
          <w:lang w:eastAsia="zh-CN"/>
        </w:rPr>
        <w:t>内容、</w:t>
      </w:r>
      <w:r>
        <w:rPr>
          <w:rFonts w:hint="eastAsia" w:ascii="仿宋_GB2312" w:hAnsi="仿宋_GB2312" w:eastAsia="仿宋_GB2312" w:cs="仿宋_GB2312"/>
          <w:color w:val="auto"/>
          <w:sz w:val="24"/>
          <w:szCs w:val="24"/>
          <w:highlight w:val="none"/>
        </w:rPr>
        <w:t>数量</w:t>
      </w:r>
      <w:r>
        <w:rPr>
          <w:rFonts w:ascii="宋体" w:hAnsi="宋体" w:cs="宋体"/>
          <w:color w:val="auto"/>
          <w:sz w:val="24"/>
          <w:highlight w:val="none"/>
        </w:rPr>
        <w:t>及具体要求等见</w:t>
      </w:r>
      <w:r>
        <w:rPr>
          <w:rFonts w:hint="eastAsia" w:ascii="仿宋_GB2312" w:hAnsi="仿宋_GB2312" w:eastAsia="仿宋_GB2312" w:cs="仿宋_GB2312"/>
          <w:color w:val="auto"/>
          <w:sz w:val="24"/>
          <w:szCs w:val="24"/>
          <w:highlight w:val="none"/>
          <w:lang w:eastAsia="zh-CN"/>
        </w:rPr>
        <w:t>下方</w:t>
      </w:r>
      <w:r>
        <w:rPr>
          <w:rFonts w:hint="eastAsia" w:ascii="仿宋_GB2312" w:hAnsi="仿宋_GB2312" w:eastAsia="仿宋_GB2312" w:cs="仿宋_GB2312"/>
          <w:color w:val="auto"/>
          <w:sz w:val="24"/>
          <w:szCs w:val="24"/>
          <w:highlight w:val="none"/>
        </w:rPr>
        <w:t>各实训室明细表。</w:t>
      </w:r>
    </w:p>
    <w:p>
      <w:pPr>
        <w:spacing w:line="360" w:lineRule="auto"/>
        <w:ind w:firstLine="435"/>
        <w:rPr>
          <w:rFonts w:ascii="宋体" w:hAnsi="宋体" w:cs="宋体"/>
          <w:color w:val="auto"/>
          <w:sz w:val="24"/>
          <w:highlight w:val="none"/>
        </w:rPr>
      </w:pPr>
      <w:r>
        <w:rPr>
          <w:rFonts w:hint="eastAsia" w:ascii="宋体" w:hAnsi="宋体" w:cs="宋体"/>
          <w:color w:val="auto"/>
          <w:sz w:val="24"/>
          <w:highlight w:val="none"/>
          <w:lang w:val="en-US" w:eastAsia="zh-CN"/>
        </w:rPr>
        <w:t>14、</w:t>
      </w:r>
      <w:r>
        <w:rPr>
          <w:rFonts w:hint="eastAsia" w:ascii="宋体" w:hAnsi="宋体" w:cs="宋体"/>
          <w:color w:val="auto"/>
          <w:sz w:val="24"/>
          <w:highlight w:val="none"/>
        </w:rPr>
        <w:t>自搬迁开始之日起至所有设备搬迁到位验收之日止，所有搬迁设备的安全由中标单位负责。</w:t>
      </w:r>
    </w:p>
    <w:p>
      <w:pPr>
        <w:spacing w:line="360" w:lineRule="auto"/>
        <w:ind w:firstLine="435"/>
        <w:rPr>
          <w:rFonts w:hint="eastAsia" w:ascii="宋体" w:hAnsi="宋体" w:cs="宋体"/>
          <w:b/>
          <w:bCs/>
          <w:color w:val="auto"/>
          <w:sz w:val="24"/>
          <w:highlight w:val="none"/>
        </w:rPr>
      </w:pP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val="en-US" w:eastAsia="zh-CN"/>
        </w:rPr>
        <w:t>15</w:t>
      </w:r>
      <w:r>
        <w:rPr>
          <w:rFonts w:hint="eastAsia" w:ascii="宋体" w:hAnsi="宋体" w:cs="宋体"/>
          <w:b/>
          <w:bCs/>
          <w:color w:val="auto"/>
          <w:sz w:val="24"/>
          <w:highlight w:val="none"/>
        </w:rPr>
        <w:t>.</w:t>
      </w:r>
      <w:r>
        <w:rPr>
          <w:rFonts w:ascii="宋体" w:hAnsi="宋体" w:cs="宋体"/>
          <w:b/>
          <w:bCs/>
          <w:color w:val="auto"/>
          <w:sz w:val="24"/>
          <w:highlight w:val="none"/>
        </w:rPr>
        <w:t>搬迁</w:t>
      </w:r>
      <w:r>
        <w:rPr>
          <w:rFonts w:hint="eastAsia" w:ascii="宋体" w:hAnsi="宋体" w:cs="宋体"/>
          <w:b/>
          <w:bCs/>
          <w:color w:val="auto"/>
          <w:sz w:val="24"/>
          <w:highlight w:val="none"/>
        </w:rPr>
        <w:t>前需对此次搬迁采购需求设备清单中</w:t>
      </w:r>
      <w:r>
        <w:rPr>
          <w:rFonts w:hint="eastAsia" w:ascii="宋体" w:hAnsi="宋体" w:cs="宋体"/>
          <w:b/>
          <w:bCs/>
          <w:color w:val="auto"/>
          <w:sz w:val="24"/>
          <w:highlight w:val="none"/>
          <w:lang w:val="en-US" w:eastAsia="zh-CN"/>
        </w:rPr>
        <w:t>标</w:t>
      </w:r>
      <w:r>
        <w:rPr>
          <w:rFonts w:hint="eastAsia" w:ascii="宋体" w:hAnsi="宋体" w:cs="宋体"/>
          <w:b/>
          <w:bCs/>
          <w:color w:val="auto"/>
          <w:sz w:val="24"/>
          <w:highlight w:val="none"/>
          <w:lang w:eastAsia="zh-CN"/>
        </w:rPr>
        <w:t>“</w:t>
      </w:r>
      <w:r>
        <w:rPr>
          <w:rFonts w:hint="eastAsia" w:ascii="宋体" w:hAnsi="宋体" w:cs="宋体"/>
          <w:color w:val="auto"/>
          <w:sz w:val="24"/>
          <w:szCs w:val="24"/>
          <w:highlight w:val="none"/>
          <w:lang w:eastAsia="zh-CN"/>
        </w:rPr>
        <w:t>■</w:t>
      </w:r>
      <w:r>
        <w:rPr>
          <w:rFonts w:hint="eastAsia" w:ascii="宋体" w:hAnsi="宋体" w:cs="宋体"/>
          <w:b/>
          <w:bCs/>
          <w:color w:val="auto"/>
          <w:sz w:val="24"/>
          <w:highlight w:val="none"/>
          <w:lang w:eastAsia="zh-CN"/>
        </w:rPr>
        <w:t>”</w:t>
      </w:r>
      <w:r>
        <w:rPr>
          <w:rFonts w:hint="eastAsia" w:ascii="宋体" w:hAnsi="宋体" w:cs="宋体"/>
          <w:b/>
          <w:bCs/>
          <w:color w:val="auto"/>
          <w:sz w:val="24"/>
          <w:highlight w:val="none"/>
          <w:lang w:val="en-US" w:eastAsia="zh-CN"/>
        </w:rPr>
        <w:t>项</w:t>
      </w:r>
      <w:r>
        <w:rPr>
          <w:rFonts w:hint="eastAsia" w:ascii="宋体" w:hAnsi="宋体" w:cs="宋体"/>
          <w:b/>
          <w:bCs/>
          <w:color w:val="auto"/>
          <w:sz w:val="24"/>
          <w:highlight w:val="none"/>
        </w:rPr>
        <w:t>设备和参与搬迁的人员购买保险</w:t>
      </w:r>
      <w:r>
        <w:rPr>
          <w:rFonts w:hint="eastAsia" w:ascii="宋体" w:hAnsi="宋体" w:cs="宋体"/>
          <w:b/>
          <w:bCs/>
          <w:color w:val="auto"/>
          <w:sz w:val="24"/>
          <w:highlight w:val="none"/>
          <w:lang w:val="en-US" w:eastAsia="zh-CN"/>
        </w:rPr>
        <w:t>,</w:t>
      </w:r>
      <w:r>
        <w:rPr>
          <w:rFonts w:hint="eastAsia" w:ascii="宋体" w:hAnsi="宋体" w:cs="宋体"/>
          <w:b/>
          <w:bCs/>
          <w:color w:val="auto"/>
          <w:sz w:val="24"/>
          <w:highlight w:val="none"/>
        </w:rPr>
        <w:t>保险费用含在此次报价中。</w:t>
      </w:r>
    </w:p>
    <w:p>
      <w:pPr>
        <w:spacing w:line="360" w:lineRule="auto"/>
        <w:ind w:firstLine="435"/>
        <w:rPr>
          <w:rFonts w:ascii="宋体" w:hAnsi="宋体"/>
          <w:b/>
          <w:bCs/>
          <w:color w:val="auto"/>
          <w:sz w:val="24"/>
          <w:highlight w:val="none"/>
        </w:rPr>
      </w:pP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val="en-US" w:eastAsia="zh-CN"/>
        </w:rPr>
        <w:t>16</w:t>
      </w:r>
      <w:r>
        <w:rPr>
          <w:rFonts w:hint="eastAsia" w:ascii="宋体" w:hAnsi="宋体" w:cs="宋体"/>
          <w:b/>
          <w:bCs/>
          <w:color w:val="auto"/>
          <w:sz w:val="24"/>
          <w:highlight w:val="none"/>
        </w:rPr>
        <w:t>.自搬迁验收完成之日起，所有设备免费质保</w:t>
      </w:r>
      <w:r>
        <w:rPr>
          <w:rFonts w:hint="eastAsia" w:ascii="宋体" w:hAnsi="宋体" w:cs="宋体"/>
          <w:b/>
          <w:bCs/>
          <w:color w:val="auto"/>
          <w:sz w:val="24"/>
          <w:highlight w:val="none"/>
          <w:lang w:val="en-US" w:eastAsia="zh-CN"/>
        </w:rPr>
        <w:t>3</w:t>
      </w:r>
      <w:r>
        <w:rPr>
          <w:rFonts w:hint="eastAsia" w:ascii="宋体" w:hAnsi="宋体" w:cs="宋体"/>
          <w:b/>
          <w:bCs/>
          <w:color w:val="auto"/>
          <w:sz w:val="24"/>
          <w:highlight w:val="none"/>
        </w:rPr>
        <w:t>年。</w:t>
      </w:r>
    </w:p>
    <w:p>
      <w:pPr>
        <w:spacing w:line="360" w:lineRule="auto"/>
        <w:jc w:val="left"/>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rPr>
        <w:t xml:space="preserve">二、轮机全任务模拟器搬迁技术要求 </w:t>
      </w:r>
    </w:p>
    <w:p>
      <w:p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b/>
          <w:color w:val="auto"/>
          <w:sz w:val="24"/>
          <w:szCs w:val="24"/>
          <w:highlight w:val="none"/>
        </w:rPr>
        <w:t>中标单位负责：</w:t>
      </w:r>
      <w:r>
        <w:rPr>
          <w:rFonts w:hint="eastAsia" w:ascii="仿宋_GB2312" w:hAnsi="仿宋_GB2312" w:eastAsia="仿宋_GB2312" w:cs="仿宋_GB2312"/>
          <w:color w:val="auto"/>
          <w:sz w:val="24"/>
          <w:szCs w:val="24"/>
          <w:highlight w:val="none"/>
        </w:rPr>
        <w:t>包括安装环境设计、设备安装调试及配套件,新房间的、灯具、静电地板和弱电布设的费用，同时包括对现有模拟器和空调的拆解、包装、运输、安装和调试费用。</w:t>
      </w:r>
    </w:p>
    <w:p>
      <w:p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b/>
          <w:color w:val="auto"/>
          <w:sz w:val="24"/>
          <w:szCs w:val="24"/>
          <w:highlight w:val="none"/>
        </w:rPr>
        <w:t>校方负责</w:t>
      </w:r>
      <w:r>
        <w:rPr>
          <w:rFonts w:hint="eastAsia" w:ascii="仿宋_GB2312" w:hAnsi="仿宋_GB2312" w:eastAsia="仿宋_GB2312" w:cs="仿宋_GB2312"/>
          <w:color w:val="auto"/>
          <w:sz w:val="24"/>
          <w:szCs w:val="24"/>
          <w:highlight w:val="none"/>
        </w:rPr>
        <w:t>：新房间强弱电布设、墙面大白、地面自流平、房间门窗。</w:t>
      </w:r>
    </w:p>
    <w:tbl>
      <w:tblPr>
        <w:tblStyle w:val="23"/>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3614"/>
        <w:gridCol w:w="4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设备名称</w:t>
            </w:r>
          </w:p>
        </w:tc>
        <w:tc>
          <w:tcPr>
            <w:tcW w:w="438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工作标准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宋体" w:hAnsi="宋体" w:cs="宋体"/>
                <w:color w:val="auto"/>
                <w:sz w:val="24"/>
                <w:szCs w:val="24"/>
                <w:highlight w:val="none"/>
                <w:lang w:eastAsia="zh-CN"/>
              </w:rPr>
              <w:t>■</w:t>
            </w:r>
            <w:r>
              <w:rPr>
                <w:rFonts w:hint="eastAsia" w:ascii="仿宋_GB2312" w:hAnsi="仿宋_GB2312" w:eastAsia="仿宋_GB2312" w:cs="仿宋_GB2312"/>
                <w:color w:val="auto"/>
                <w:sz w:val="24"/>
                <w:szCs w:val="24"/>
                <w:highlight w:val="none"/>
              </w:rPr>
              <w:t>一、</w:t>
            </w: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配电系统总成</w:t>
            </w:r>
          </w:p>
        </w:tc>
        <w:tc>
          <w:tcPr>
            <w:tcW w:w="4383" w:type="dxa"/>
            <w:vMerge w:val="restart"/>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拆解前设备完整性与功能检测、拆线、设标记、简包装、安装前检查、摆位、设备固定、配置电源线、连接线：通电调试检测，误差修正。</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设备重新安装到位后，恢复拆解前的设备完整性与系统功能。</w:t>
            </w:r>
          </w:p>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3614" w:type="dxa"/>
            <w:vAlign w:val="center"/>
          </w:tcPr>
          <w:p>
            <w:pPr>
              <w:spacing w:line="360" w:lineRule="auto"/>
              <w:rPr>
                <w:rFonts w:hint="eastAsia" w:ascii="仿宋_GB2312" w:hAnsi="仿宋_GB2312" w:eastAsia="仿宋_GB2312" w:cs="仿宋_GB2312"/>
                <w:color w:val="auto"/>
                <w:sz w:val="24"/>
                <w:szCs w:val="24"/>
                <w:highlight w:val="none"/>
              </w:rPr>
            </w:pPr>
            <w:r>
              <w:rPr>
                <w:rFonts w:hint="eastAsia" w:ascii="宋体" w:hAnsi="宋体" w:cs="宋体"/>
                <w:color w:val="auto"/>
                <w:kern w:val="0"/>
                <w:szCs w:val="21"/>
                <w:highlight w:val="none"/>
                <w:lang w:bidi="ar"/>
              </w:rPr>
              <w:t>●</w:t>
            </w:r>
            <w:r>
              <w:rPr>
                <w:rFonts w:hint="eastAsia" w:ascii="仿宋_GB2312" w:hAnsi="仿宋_GB2312" w:eastAsia="仿宋_GB2312" w:cs="仿宋_GB2312"/>
                <w:color w:val="auto"/>
                <w:sz w:val="24"/>
                <w:szCs w:val="24"/>
                <w:highlight w:val="none"/>
              </w:rPr>
              <w:t>主配电屏（响应文件需提供原理图及新校区实训室效果图）</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3614" w:type="dxa"/>
            <w:vAlign w:val="center"/>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应急配电屏（响应文件需提供原理图及新校区实训室效果图）</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3614" w:type="dxa"/>
            <w:vAlign w:val="center"/>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有源音箱</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充放电控制箱</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岸电控制箱（响应文件需提供原理图及新校区实训室效果图）</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系统电源分配电箱</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发电机机旁启动箱</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轴带发电机机旁启动箱</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w:t>
            </w: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船电照明控制</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65寸触摸电视机1台</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宋体" w:hAnsi="宋体" w:cs="宋体"/>
                <w:color w:val="auto"/>
                <w:sz w:val="24"/>
                <w:szCs w:val="24"/>
                <w:highlight w:val="none"/>
                <w:lang w:eastAsia="zh-CN"/>
              </w:rPr>
              <w:t>■</w:t>
            </w:r>
            <w:r>
              <w:rPr>
                <w:rFonts w:hint="eastAsia" w:ascii="仿宋_GB2312" w:hAnsi="仿宋_GB2312" w:eastAsia="仿宋_GB2312" w:cs="仿宋_GB2312"/>
                <w:color w:val="auto"/>
                <w:sz w:val="24"/>
                <w:szCs w:val="24"/>
                <w:highlight w:val="none"/>
              </w:rPr>
              <w:t>二、</w:t>
            </w: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主机、辅机控制系统总成</w:t>
            </w:r>
          </w:p>
        </w:tc>
        <w:tc>
          <w:tcPr>
            <w:tcW w:w="4383" w:type="dxa"/>
            <w:vMerge w:val="restart"/>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拆解前设备完整性与功能检测、拆线、设标记、简包装、安装前检查、摆位、设备固定、配置电源线、连接线：通电调试检测，误差修正。</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设备重新安装到位后，恢复拆解前的设备完整性与系统功能。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w:t>
            </w:r>
          </w:p>
        </w:tc>
        <w:tc>
          <w:tcPr>
            <w:tcW w:w="3614" w:type="dxa"/>
          </w:tcPr>
          <w:p>
            <w:pPr>
              <w:spacing w:line="240" w:lineRule="auto"/>
              <w:rPr>
                <w:rFonts w:hint="eastAsia" w:ascii="仿宋_GB2312" w:hAnsi="仿宋_GB2312" w:eastAsia="仿宋_GB2312" w:cs="仿宋_GB2312"/>
                <w:color w:val="auto"/>
                <w:sz w:val="24"/>
                <w:szCs w:val="24"/>
                <w:highlight w:val="none"/>
              </w:rPr>
            </w:pPr>
            <w:r>
              <w:rPr>
                <w:rFonts w:hint="eastAsia" w:ascii="宋体" w:hAnsi="宋体" w:cs="宋体"/>
                <w:color w:val="auto"/>
                <w:kern w:val="0"/>
                <w:szCs w:val="21"/>
                <w:highlight w:val="none"/>
                <w:lang w:bidi="ar"/>
              </w:rPr>
              <w:t>●</w:t>
            </w:r>
            <w:r>
              <w:rPr>
                <w:rFonts w:hint="eastAsia" w:ascii="仿宋_GB2312" w:hAnsi="仿宋_GB2312" w:eastAsia="仿宋_GB2312" w:cs="仿宋_GB2312"/>
                <w:color w:val="auto"/>
                <w:sz w:val="24"/>
                <w:szCs w:val="24"/>
                <w:highlight w:val="none"/>
              </w:rPr>
              <w:t>集控台1-监控报警系统A（响应文件需提供原理图及新校区实训室效果图）</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3614" w:type="dxa"/>
          </w:tcPr>
          <w:p>
            <w:pPr>
              <w:spacing w:line="240" w:lineRule="auto"/>
              <w:rPr>
                <w:rFonts w:hint="eastAsia" w:ascii="仿宋_GB2312" w:hAnsi="仿宋_GB2312" w:eastAsia="仿宋_GB2312" w:cs="仿宋_GB2312"/>
                <w:color w:val="auto"/>
                <w:sz w:val="24"/>
                <w:szCs w:val="24"/>
                <w:highlight w:val="none"/>
              </w:rPr>
            </w:pPr>
            <w:r>
              <w:rPr>
                <w:rFonts w:hint="eastAsia" w:ascii="宋体" w:hAnsi="宋体" w:cs="宋体"/>
                <w:color w:val="auto"/>
                <w:kern w:val="0"/>
                <w:szCs w:val="21"/>
                <w:highlight w:val="none"/>
                <w:lang w:bidi="ar"/>
              </w:rPr>
              <w:t>●</w:t>
            </w:r>
            <w:r>
              <w:rPr>
                <w:rFonts w:hint="eastAsia" w:ascii="仿宋_GB2312" w:hAnsi="仿宋_GB2312" w:eastAsia="仿宋_GB2312" w:cs="仿宋_GB2312"/>
                <w:color w:val="auto"/>
                <w:sz w:val="24"/>
                <w:szCs w:val="24"/>
                <w:highlight w:val="none"/>
              </w:rPr>
              <w:t>集控台2-监控报警系统B（响应文件需提供原理图及新校区实训室效果图）</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w:t>
            </w:r>
          </w:p>
        </w:tc>
        <w:tc>
          <w:tcPr>
            <w:tcW w:w="3614" w:type="dxa"/>
          </w:tcPr>
          <w:p>
            <w:pPr>
              <w:spacing w:line="240" w:lineRule="auto"/>
              <w:rPr>
                <w:rFonts w:hint="eastAsia" w:ascii="仿宋_GB2312" w:hAnsi="仿宋_GB2312" w:eastAsia="仿宋_GB2312" w:cs="仿宋_GB2312"/>
                <w:color w:val="auto"/>
                <w:sz w:val="24"/>
                <w:szCs w:val="24"/>
                <w:highlight w:val="none"/>
              </w:rPr>
            </w:pPr>
            <w:r>
              <w:rPr>
                <w:rFonts w:hint="eastAsia" w:ascii="宋体" w:hAnsi="宋体" w:cs="宋体"/>
                <w:color w:val="auto"/>
                <w:kern w:val="0"/>
                <w:szCs w:val="21"/>
                <w:highlight w:val="none"/>
                <w:lang w:bidi="ar"/>
              </w:rPr>
              <w:t>●</w:t>
            </w:r>
            <w:r>
              <w:rPr>
                <w:rFonts w:hint="eastAsia" w:ascii="仿宋_GB2312" w:hAnsi="仿宋_GB2312" w:eastAsia="仿宋_GB2312" w:cs="仿宋_GB2312"/>
                <w:color w:val="auto"/>
                <w:sz w:val="24"/>
                <w:szCs w:val="24"/>
                <w:highlight w:val="none"/>
              </w:rPr>
              <w:t>集控台3-MC主机操作系统（响应文件需提供原理图及新校区实训室效果图）</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w:t>
            </w:r>
          </w:p>
        </w:tc>
        <w:tc>
          <w:tcPr>
            <w:tcW w:w="3614" w:type="dxa"/>
          </w:tcPr>
          <w:p>
            <w:pPr>
              <w:spacing w:line="240" w:lineRule="auto"/>
              <w:rPr>
                <w:rFonts w:hint="eastAsia" w:ascii="仿宋_GB2312" w:hAnsi="仿宋_GB2312" w:eastAsia="仿宋_GB2312" w:cs="仿宋_GB2312"/>
                <w:color w:val="auto"/>
                <w:sz w:val="24"/>
                <w:szCs w:val="24"/>
                <w:highlight w:val="none"/>
              </w:rPr>
            </w:pPr>
            <w:r>
              <w:rPr>
                <w:rFonts w:hint="eastAsia" w:ascii="宋体" w:hAnsi="宋体" w:cs="宋体"/>
                <w:color w:val="auto"/>
                <w:kern w:val="0"/>
                <w:szCs w:val="21"/>
                <w:highlight w:val="none"/>
                <w:lang w:bidi="ar"/>
              </w:rPr>
              <w:t>●</w:t>
            </w:r>
            <w:r>
              <w:rPr>
                <w:rFonts w:hint="eastAsia" w:ascii="仿宋_GB2312" w:hAnsi="仿宋_GB2312" w:eastAsia="仿宋_GB2312" w:cs="仿宋_GB2312"/>
                <w:color w:val="auto"/>
                <w:sz w:val="24"/>
                <w:szCs w:val="24"/>
                <w:highlight w:val="none"/>
              </w:rPr>
              <w:t>集控台4-主机系统（响应文件需提供原理图及新校区实训室效果图）</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w:t>
            </w:r>
          </w:p>
        </w:tc>
        <w:tc>
          <w:tcPr>
            <w:tcW w:w="3614" w:type="dxa"/>
          </w:tcPr>
          <w:p>
            <w:pPr>
              <w:spacing w:line="240" w:lineRule="auto"/>
              <w:rPr>
                <w:rFonts w:hint="eastAsia" w:ascii="仿宋_GB2312" w:hAnsi="仿宋_GB2312" w:eastAsia="仿宋_GB2312" w:cs="仿宋_GB2312"/>
                <w:color w:val="auto"/>
                <w:sz w:val="24"/>
                <w:szCs w:val="24"/>
                <w:highlight w:val="none"/>
              </w:rPr>
            </w:pPr>
            <w:r>
              <w:rPr>
                <w:rFonts w:hint="eastAsia" w:ascii="宋体" w:hAnsi="宋体" w:cs="宋体"/>
                <w:color w:val="auto"/>
                <w:kern w:val="0"/>
                <w:szCs w:val="21"/>
                <w:highlight w:val="none"/>
                <w:lang w:bidi="ar"/>
              </w:rPr>
              <w:t>●</w:t>
            </w:r>
            <w:r>
              <w:rPr>
                <w:rFonts w:hint="eastAsia" w:ascii="仿宋_GB2312" w:hAnsi="仿宋_GB2312" w:eastAsia="仿宋_GB2312" w:cs="仿宋_GB2312"/>
                <w:color w:val="auto"/>
                <w:sz w:val="24"/>
                <w:szCs w:val="24"/>
                <w:highlight w:val="none"/>
              </w:rPr>
              <w:t>集控台5-辅机操作与压载水（响应文件需提供原理图及新校区实训室效果图）</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w:t>
            </w:r>
          </w:p>
        </w:tc>
        <w:tc>
          <w:tcPr>
            <w:tcW w:w="3614" w:type="dxa"/>
            <w:vAlign w:val="center"/>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有源音箱</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w:t>
            </w: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宋体" w:hAnsi="宋体" w:cs="宋体"/>
                <w:color w:val="auto"/>
                <w:kern w:val="0"/>
                <w:szCs w:val="21"/>
                <w:highlight w:val="none"/>
                <w:lang w:bidi="ar"/>
              </w:rPr>
              <w:t>●</w:t>
            </w:r>
            <w:r>
              <w:rPr>
                <w:rFonts w:hint="eastAsia" w:ascii="仿宋_GB2312" w:hAnsi="仿宋_GB2312" w:eastAsia="仿宋_GB2312" w:cs="仿宋_GB2312"/>
                <w:color w:val="auto"/>
                <w:sz w:val="24"/>
                <w:szCs w:val="24"/>
                <w:highlight w:val="none"/>
              </w:rPr>
              <w:t>驾驶台（响应文件需提供新校区实训室效果图）</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w:t>
            </w: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机旁操作台</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w:t>
            </w: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主机高温淡水泵启动箱</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w:t>
            </w: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主机低温淡水泵启动箱</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w:t>
            </w: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滑油泵启动箱</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22</w:t>
            </w: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海水泵启动箱</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w:t>
            </w: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空压机启动箱</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24</w:t>
            </w: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消防疏排水泵启动箱</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w:t>
            </w: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宋体" w:hAnsi="宋体" w:cs="宋体"/>
                <w:color w:val="auto"/>
                <w:kern w:val="0"/>
                <w:szCs w:val="21"/>
                <w:highlight w:val="none"/>
                <w:lang w:bidi="ar"/>
              </w:rPr>
              <w:t>●</w:t>
            </w:r>
            <w:r>
              <w:rPr>
                <w:rFonts w:hint="eastAsia" w:ascii="仿宋_GB2312" w:hAnsi="仿宋_GB2312" w:eastAsia="仿宋_GB2312" w:cs="仿宋_GB2312"/>
                <w:color w:val="auto"/>
                <w:sz w:val="24"/>
                <w:szCs w:val="24"/>
                <w:highlight w:val="none"/>
              </w:rPr>
              <w:t>火灾报警控制系统（响应文件需提供原理图及新校区实训室效果图）</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26</w:t>
            </w: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大仓进水报警箱</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27</w:t>
            </w: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延伸报警箱</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28</w:t>
            </w: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舵机控制箱</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29</w:t>
            </w: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宋体" w:hAnsi="宋体" w:cs="宋体"/>
                <w:color w:val="auto"/>
                <w:kern w:val="0"/>
                <w:szCs w:val="21"/>
                <w:highlight w:val="none"/>
                <w:lang w:bidi="ar"/>
              </w:rPr>
              <w:t>●</w:t>
            </w:r>
            <w:r>
              <w:rPr>
                <w:rFonts w:hint="eastAsia" w:ascii="仿宋_GB2312" w:hAnsi="仿宋_GB2312" w:eastAsia="仿宋_GB2312" w:cs="仿宋_GB2312"/>
                <w:color w:val="auto"/>
                <w:sz w:val="24"/>
                <w:szCs w:val="24"/>
                <w:highlight w:val="none"/>
              </w:rPr>
              <w:t>燃油单元箱（响应文件需提供原理图及新校区实训室效果图）</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30</w:t>
            </w: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机舱组合声光大警报器</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w:t>
            </w: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65寸触摸电视机3台</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设备名称</w:t>
            </w:r>
          </w:p>
        </w:tc>
        <w:tc>
          <w:tcPr>
            <w:tcW w:w="438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工作标准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宋体" w:hAnsi="宋体" w:cs="宋体"/>
                <w:color w:val="auto"/>
                <w:sz w:val="24"/>
                <w:szCs w:val="24"/>
                <w:highlight w:val="none"/>
                <w:lang w:eastAsia="zh-CN"/>
              </w:rPr>
              <w:t>■</w:t>
            </w:r>
            <w:r>
              <w:rPr>
                <w:rFonts w:hint="eastAsia" w:ascii="仿宋_GB2312" w:hAnsi="仿宋_GB2312" w:eastAsia="仿宋_GB2312" w:cs="仿宋_GB2312"/>
                <w:color w:val="auto"/>
                <w:sz w:val="24"/>
                <w:szCs w:val="24"/>
                <w:highlight w:val="none"/>
              </w:rPr>
              <w:t>三、</w:t>
            </w: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半实物仿真系统</w:t>
            </w:r>
          </w:p>
        </w:tc>
        <w:tc>
          <w:tcPr>
            <w:tcW w:w="4383" w:type="dxa"/>
            <w:vMerge w:val="restart"/>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拆解前设备完整性与功能检测、拆线、设标记、简包装、安装前检查、摆位、设备固定、配置电源线、连接线：通电调试检测，误差修正。</w:t>
            </w:r>
          </w:p>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设备重新安装到位后，恢复拆解前的设备完整性与系统功能。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32</w:t>
            </w: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重油分油机柜</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--柴油分油机箱</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--滑油分油机箱</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33</w:t>
            </w: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油水分离器柜</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34</w:t>
            </w: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燃油锅炉控制柜1</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燃油锅炉控制柜2</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造水机控制箱</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35</w:t>
            </w: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焚烧炉控制箱</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生活污水控制箱</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空调控制箱</w:t>
            </w:r>
          </w:p>
        </w:tc>
        <w:tc>
          <w:tcPr>
            <w:tcW w:w="4383" w:type="dxa"/>
            <w:vMerge w:val="continue"/>
          </w:tcPr>
          <w:p>
            <w:pPr>
              <w:spacing w:line="360" w:lineRule="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w:t>
            </w:r>
          </w:p>
        </w:tc>
        <w:tc>
          <w:tcPr>
            <w:tcW w:w="3614" w:type="dxa"/>
          </w:tcPr>
          <w:p>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教员工作站</w:t>
            </w:r>
          </w:p>
        </w:tc>
        <w:tc>
          <w:tcPr>
            <w:tcW w:w="4383" w:type="dxa"/>
          </w:tcPr>
          <w:p>
            <w:pPr>
              <w:spacing w:line="24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拆解前设备完整性与功能检测、拆线、设标记、简包装、安装前检查、摆位、设备固定、配置电源线、连接线：通电调试检测，误差修正。</w:t>
            </w:r>
          </w:p>
          <w:p>
            <w:pPr>
              <w:spacing w:line="24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设备重新安装到位后，恢复拆解前的设备完整性与系统功能。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bookmarkStart w:id="5" w:name="_GoBack" w:colFirst="1" w:colLast="2"/>
            <w:r>
              <w:rPr>
                <w:rFonts w:hint="eastAsia" w:ascii="仿宋_GB2312" w:hAnsi="仿宋_GB2312" w:eastAsia="仿宋_GB2312" w:cs="仿宋_GB2312"/>
                <w:color w:val="auto"/>
                <w:sz w:val="24"/>
                <w:szCs w:val="24"/>
                <w:highlight w:val="none"/>
              </w:rPr>
              <w:t>五</w:t>
            </w:r>
          </w:p>
        </w:tc>
        <w:tc>
          <w:tcPr>
            <w:tcW w:w="3614" w:type="dxa"/>
          </w:tcPr>
          <w:p>
            <w:pPr>
              <w:spacing w:line="24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其他</w:t>
            </w:r>
          </w:p>
        </w:tc>
        <w:tc>
          <w:tcPr>
            <w:tcW w:w="4383" w:type="dxa"/>
          </w:tcPr>
          <w:p>
            <w:pPr>
              <w:spacing w:line="24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教员工作站、驾驶室、主机控制台隔断；中央空调搬迁安装调试；吊顶装修；静电地板；窗帘。</w:t>
            </w:r>
          </w:p>
        </w:tc>
      </w:tr>
      <w:bookmarkEnd w:id="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Pr>
          <w:p>
            <w:pPr>
              <w:spacing w:line="360" w:lineRule="auto"/>
              <w:rPr>
                <w:rFonts w:hint="eastAsia" w:ascii="仿宋_GB2312" w:hAnsi="仿宋_GB2312" w:eastAsia="仿宋_GB2312" w:cs="仿宋_GB2312"/>
                <w:color w:val="auto"/>
                <w:sz w:val="24"/>
                <w:szCs w:val="24"/>
                <w:highlight w:val="none"/>
              </w:rPr>
            </w:pPr>
          </w:p>
        </w:tc>
        <w:tc>
          <w:tcPr>
            <w:tcW w:w="3614" w:type="dxa"/>
          </w:tcPr>
          <w:p>
            <w:pPr>
              <w:spacing w:line="360" w:lineRule="auto"/>
              <w:rPr>
                <w:rFonts w:hint="eastAsia" w:ascii="仿宋_GB2312" w:hAnsi="仿宋_GB2312" w:eastAsia="仿宋_GB2312" w:cs="仿宋_GB2312"/>
                <w:color w:val="auto"/>
                <w:sz w:val="24"/>
                <w:szCs w:val="24"/>
                <w:highlight w:val="none"/>
              </w:rPr>
            </w:pPr>
          </w:p>
        </w:tc>
        <w:tc>
          <w:tcPr>
            <w:tcW w:w="4383" w:type="dxa"/>
          </w:tcPr>
          <w:p>
            <w:pPr>
              <w:spacing w:line="360" w:lineRule="auto"/>
              <w:rPr>
                <w:rFonts w:hint="eastAsia" w:ascii="仿宋_GB2312" w:hAnsi="仿宋_GB2312" w:eastAsia="仿宋_GB2312" w:cs="仿宋_GB2312"/>
                <w:color w:val="auto"/>
                <w:sz w:val="24"/>
                <w:szCs w:val="24"/>
                <w:highlight w:val="none"/>
              </w:rPr>
            </w:pPr>
          </w:p>
        </w:tc>
      </w:tr>
      <w:bookmarkEnd w:id="3"/>
      <w:bookmarkEnd w:id="4"/>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EastAsia" w:hAnsiTheme="minorEastAsia" w:eastAsiaTheme="minorEastAsia"/>
          <w:color w:val="auto"/>
          <w:sz w:val="24"/>
          <w:highlight w:val="none"/>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微软简标宋">
    <w:altName w:val="@宋体"/>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Sylfaen">
    <w:panose1 w:val="010A0502050306030303"/>
    <w:charset w:val="00"/>
    <w:family w:val="roman"/>
    <w:pitch w:val="default"/>
    <w:sig w:usb0="04000687" w:usb1="00000000" w:usb2="00000000" w:usb3="00000000" w:csb0="2000009F" w:csb1="00000000"/>
  </w:font>
  <w:font w:name="MingLiU">
    <w:panose1 w:val="02020509000000000000"/>
    <w:charset w:val="88"/>
    <w:family w:val="moder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Arial Unicode MS">
    <w:panose1 w:val="020B0604020202020204"/>
    <w:charset w:val="86"/>
    <w:family w:val="auto"/>
    <w:pitch w:val="default"/>
    <w:sig w:usb0="FFFFFFFF" w:usb1="E9FFFFFF" w:usb2="0000003F" w:usb3="00000000" w:csb0="603F01FF" w:csb1="FFFF0000"/>
  </w:font>
  <w:font w:name="@宋体">
    <w:panose1 w:val="02010600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asciiTheme="minorEastAsia" w:hAnsiTheme="minorEastAsia" w:eastAsiaTheme="minorEastAsia"/>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left"/>
      <w:rPr>
        <w:rFonts w:asciiTheme="minorEastAsia" w:hAnsiTheme="minorEastAsia" w:eastAsiaTheme="minor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0ZGEyNjFlNjU0ZjI0MzVmM2RmYjdmMDAzMTg5OWQifQ=="/>
  </w:docVars>
  <w:rsids>
    <w:rsidRoot w:val="00276BA1"/>
    <w:rsid w:val="0000043F"/>
    <w:rsid w:val="000037F9"/>
    <w:rsid w:val="000049DA"/>
    <w:rsid w:val="000056B7"/>
    <w:rsid w:val="000131F7"/>
    <w:rsid w:val="00014039"/>
    <w:rsid w:val="00016B6C"/>
    <w:rsid w:val="00020B57"/>
    <w:rsid w:val="00042139"/>
    <w:rsid w:val="00042B14"/>
    <w:rsid w:val="00044F49"/>
    <w:rsid w:val="000450C3"/>
    <w:rsid w:val="00050A3F"/>
    <w:rsid w:val="000513C9"/>
    <w:rsid w:val="000613FC"/>
    <w:rsid w:val="000648D2"/>
    <w:rsid w:val="00070E0E"/>
    <w:rsid w:val="0007307D"/>
    <w:rsid w:val="00076DB7"/>
    <w:rsid w:val="00080FEB"/>
    <w:rsid w:val="00084E1F"/>
    <w:rsid w:val="000855E8"/>
    <w:rsid w:val="0009118D"/>
    <w:rsid w:val="00094D41"/>
    <w:rsid w:val="000966B5"/>
    <w:rsid w:val="00097CB9"/>
    <w:rsid w:val="000A6252"/>
    <w:rsid w:val="000A6693"/>
    <w:rsid w:val="000A7970"/>
    <w:rsid w:val="000A7D94"/>
    <w:rsid w:val="000B1511"/>
    <w:rsid w:val="000B175A"/>
    <w:rsid w:val="000C1DB1"/>
    <w:rsid w:val="000C5E28"/>
    <w:rsid w:val="000D3F37"/>
    <w:rsid w:val="000E0947"/>
    <w:rsid w:val="000E3C74"/>
    <w:rsid w:val="000E3F9B"/>
    <w:rsid w:val="000E6689"/>
    <w:rsid w:val="000E6A4A"/>
    <w:rsid w:val="000F172B"/>
    <w:rsid w:val="000F2198"/>
    <w:rsid w:val="000F39B6"/>
    <w:rsid w:val="000F6B7B"/>
    <w:rsid w:val="00100B0F"/>
    <w:rsid w:val="0010187C"/>
    <w:rsid w:val="001037E3"/>
    <w:rsid w:val="0012143A"/>
    <w:rsid w:val="00137887"/>
    <w:rsid w:val="00140687"/>
    <w:rsid w:val="001439ED"/>
    <w:rsid w:val="00146421"/>
    <w:rsid w:val="001479BF"/>
    <w:rsid w:val="00151A7F"/>
    <w:rsid w:val="00155F64"/>
    <w:rsid w:val="00157856"/>
    <w:rsid w:val="00160729"/>
    <w:rsid w:val="00166ED8"/>
    <w:rsid w:val="001714C9"/>
    <w:rsid w:val="0018119B"/>
    <w:rsid w:val="001844AB"/>
    <w:rsid w:val="001853C7"/>
    <w:rsid w:val="001944B8"/>
    <w:rsid w:val="00196DA3"/>
    <w:rsid w:val="001A68E5"/>
    <w:rsid w:val="001B2A54"/>
    <w:rsid w:val="001B5014"/>
    <w:rsid w:val="001B7327"/>
    <w:rsid w:val="001C3EBE"/>
    <w:rsid w:val="001D22EA"/>
    <w:rsid w:val="001D53B4"/>
    <w:rsid w:val="001F28D2"/>
    <w:rsid w:val="001F2F45"/>
    <w:rsid w:val="001F3023"/>
    <w:rsid w:val="001F35F6"/>
    <w:rsid w:val="001F74CA"/>
    <w:rsid w:val="002003B6"/>
    <w:rsid w:val="0020244A"/>
    <w:rsid w:val="002049B4"/>
    <w:rsid w:val="0020520B"/>
    <w:rsid w:val="002076AD"/>
    <w:rsid w:val="0020774C"/>
    <w:rsid w:val="00213C55"/>
    <w:rsid w:val="00220207"/>
    <w:rsid w:val="00223CF4"/>
    <w:rsid w:val="00224C4A"/>
    <w:rsid w:val="0023255D"/>
    <w:rsid w:val="0023407E"/>
    <w:rsid w:val="00240B40"/>
    <w:rsid w:val="00244182"/>
    <w:rsid w:val="00245629"/>
    <w:rsid w:val="0025582D"/>
    <w:rsid w:val="00260B94"/>
    <w:rsid w:val="00264F2E"/>
    <w:rsid w:val="00271245"/>
    <w:rsid w:val="0027487F"/>
    <w:rsid w:val="00274A9E"/>
    <w:rsid w:val="0027532D"/>
    <w:rsid w:val="00276BA1"/>
    <w:rsid w:val="00284B7A"/>
    <w:rsid w:val="00294C71"/>
    <w:rsid w:val="002A1A1D"/>
    <w:rsid w:val="002A28AD"/>
    <w:rsid w:val="002A56A0"/>
    <w:rsid w:val="002B43A2"/>
    <w:rsid w:val="002B5318"/>
    <w:rsid w:val="002B6D27"/>
    <w:rsid w:val="002D2965"/>
    <w:rsid w:val="002D3D02"/>
    <w:rsid w:val="002D4CB5"/>
    <w:rsid w:val="002D684B"/>
    <w:rsid w:val="002E3B26"/>
    <w:rsid w:val="002E3EC5"/>
    <w:rsid w:val="002E4AB8"/>
    <w:rsid w:val="002E7FC4"/>
    <w:rsid w:val="002F605E"/>
    <w:rsid w:val="00310070"/>
    <w:rsid w:val="003110EC"/>
    <w:rsid w:val="00312A45"/>
    <w:rsid w:val="003137EC"/>
    <w:rsid w:val="003206A6"/>
    <w:rsid w:val="0032560D"/>
    <w:rsid w:val="00326593"/>
    <w:rsid w:val="00327C92"/>
    <w:rsid w:val="00331D3D"/>
    <w:rsid w:val="00333292"/>
    <w:rsid w:val="003344E7"/>
    <w:rsid w:val="0033580B"/>
    <w:rsid w:val="003365E7"/>
    <w:rsid w:val="003378D5"/>
    <w:rsid w:val="003473D7"/>
    <w:rsid w:val="0035048C"/>
    <w:rsid w:val="00351AC8"/>
    <w:rsid w:val="00353075"/>
    <w:rsid w:val="00356D4B"/>
    <w:rsid w:val="00363E02"/>
    <w:rsid w:val="00373A96"/>
    <w:rsid w:val="003826C2"/>
    <w:rsid w:val="00382776"/>
    <w:rsid w:val="00383728"/>
    <w:rsid w:val="003903BB"/>
    <w:rsid w:val="00394128"/>
    <w:rsid w:val="003942CA"/>
    <w:rsid w:val="00394ADC"/>
    <w:rsid w:val="00395235"/>
    <w:rsid w:val="00395358"/>
    <w:rsid w:val="0039561A"/>
    <w:rsid w:val="00397C7D"/>
    <w:rsid w:val="003A004F"/>
    <w:rsid w:val="003A75A7"/>
    <w:rsid w:val="003B4130"/>
    <w:rsid w:val="003B4D1C"/>
    <w:rsid w:val="003B715B"/>
    <w:rsid w:val="003D1D14"/>
    <w:rsid w:val="003D6C7C"/>
    <w:rsid w:val="003D6EFB"/>
    <w:rsid w:val="003D7E52"/>
    <w:rsid w:val="003E25C6"/>
    <w:rsid w:val="003E6FCE"/>
    <w:rsid w:val="003F46D6"/>
    <w:rsid w:val="004011AA"/>
    <w:rsid w:val="0040202C"/>
    <w:rsid w:val="00404423"/>
    <w:rsid w:val="00406508"/>
    <w:rsid w:val="0041456E"/>
    <w:rsid w:val="00414F7E"/>
    <w:rsid w:val="00416380"/>
    <w:rsid w:val="004164F8"/>
    <w:rsid w:val="00426F05"/>
    <w:rsid w:val="004410D9"/>
    <w:rsid w:val="004427B7"/>
    <w:rsid w:val="0044349F"/>
    <w:rsid w:val="00445F1F"/>
    <w:rsid w:val="00451F60"/>
    <w:rsid w:val="00452BB2"/>
    <w:rsid w:val="0045656D"/>
    <w:rsid w:val="00462D98"/>
    <w:rsid w:val="00471209"/>
    <w:rsid w:val="0047171B"/>
    <w:rsid w:val="00472A44"/>
    <w:rsid w:val="00473A89"/>
    <w:rsid w:val="00475899"/>
    <w:rsid w:val="00482C78"/>
    <w:rsid w:val="004874AE"/>
    <w:rsid w:val="00494D24"/>
    <w:rsid w:val="004951D1"/>
    <w:rsid w:val="004960BB"/>
    <w:rsid w:val="004A0FDA"/>
    <w:rsid w:val="004A1D01"/>
    <w:rsid w:val="004A27D0"/>
    <w:rsid w:val="004A4D67"/>
    <w:rsid w:val="004B24D8"/>
    <w:rsid w:val="004B76B8"/>
    <w:rsid w:val="004D3D4B"/>
    <w:rsid w:val="004D5498"/>
    <w:rsid w:val="004D66A5"/>
    <w:rsid w:val="004D6B00"/>
    <w:rsid w:val="004E1D50"/>
    <w:rsid w:val="00501382"/>
    <w:rsid w:val="00510798"/>
    <w:rsid w:val="005229BF"/>
    <w:rsid w:val="00523AF8"/>
    <w:rsid w:val="00524A11"/>
    <w:rsid w:val="00527768"/>
    <w:rsid w:val="005327FB"/>
    <w:rsid w:val="00533FCA"/>
    <w:rsid w:val="005616B5"/>
    <w:rsid w:val="00574250"/>
    <w:rsid w:val="005814C1"/>
    <w:rsid w:val="00585FDC"/>
    <w:rsid w:val="0059223D"/>
    <w:rsid w:val="00593DB8"/>
    <w:rsid w:val="00597B15"/>
    <w:rsid w:val="005A044C"/>
    <w:rsid w:val="005A1DA6"/>
    <w:rsid w:val="005A6058"/>
    <w:rsid w:val="005B34C9"/>
    <w:rsid w:val="005D0200"/>
    <w:rsid w:val="005D11F5"/>
    <w:rsid w:val="005D2D35"/>
    <w:rsid w:val="005D44EF"/>
    <w:rsid w:val="005D5112"/>
    <w:rsid w:val="005D72A8"/>
    <w:rsid w:val="005E1F55"/>
    <w:rsid w:val="005E7A3F"/>
    <w:rsid w:val="005F3914"/>
    <w:rsid w:val="005F3B5A"/>
    <w:rsid w:val="005F6AB4"/>
    <w:rsid w:val="00606DAB"/>
    <w:rsid w:val="00607471"/>
    <w:rsid w:val="00610A66"/>
    <w:rsid w:val="00613177"/>
    <w:rsid w:val="00613F7C"/>
    <w:rsid w:val="00614BF2"/>
    <w:rsid w:val="00623DE2"/>
    <w:rsid w:val="00624576"/>
    <w:rsid w:val="00627601"/>
    <w:rsid w:val="006300D0"/>
    <w:rsid w:val="00632012"/>
    <w:rsid w:val="00634694"/>
    <w:rsid w:val="00636517"/>
    <w:rsid w:val="00637690"/>
    <w:rsid w:val="00637EE7"/>
    <w:rsid w:val="00640E1E"/>
    <w:rsid w:val="0064389A"/>
    <w:rsid w:val="00645442"/>
    <w:rsid w:val="006525CD"/>
    <w:rsid w:val="00653F7F"/>
    <w:rsid w:val="006606E4"/>
    <w:rsid w:val="00662EE8"/>
    <w:rsid w:val="00663813"/>
    <w:rsid w:val="00664AFD"/>
    <w:rsid w:val="00666B8D"/>
    <w:rsid w:val="00667567"/>
    <w:rsid w:val="00672CC7"/>
    <w:rsid w:val="0067391A"/>
    <w:rsid w:val="00674173"/>
    <w:rsid w:val="00675876"/>
    <w:rsid w:val="00690DB1"/>
    <w:rsid w:val="00693404"/>
    <w:rsid w:val="006953D9"/>
    <w:rsid w:val="006A3251"/>
    <w:rsid w:val="006B1242"/>
    <w:rsid w:val="006B149D"/>
    <w:rsid w:val="006B1DBC"/>
    <w:rsid w:val="006B39B2"/>
    <w:rsid w:val="006B7D9A"/>
    <w:rsid w:val="006C06D9"/>
    <w:rsid w:val="006C5716"/>
    <w:rsid w:val="006C64B2"/>
    <w:rsid w:val="006C74A9"/>
    <w:rsid w:val="006D07DE"/>
    <w:rsid w:val="006E06D9"/>
    <w:rsid w:val="006E1D40"/>
    <w:rsid w:val="006E2E1F"/>
    <w:rsid w:val="006F5F03"/>
    <w:rsid w:val="006F5FFF"/>
    <w:rsid w:val="00710241"/>
    <w:rsid w:val="00710804"/>
    <w:rsid w:val="00711FC6"/>
    <w:rsid w:val="007130B1"/>
    <w:rsid w:val="00713CA4"/>
    <w:rsid w:val="00715071"/>
    <w:rsid w:val="00717AA5"/>
    <w:rsid w:val="007231E9"/>
    <w:rsid w:val="00727C59"/>
    <w:rsid w:val="00734E5D"/>
    <w:rsid w:val="00736013"/>
    <w:rsid w:val="007523AD"/>
    <w:rsid w:val="00754613"/>
    <w:rsid w:val="00756245"/>
    <w:rsid w:val="007570ED"/>
    <w:rsid w:val="00761662"/>
    <w:rsid w:val="00764043"/>
    <w:rsid w:val="007757CF"/>
    <w:rsid w:val="0078128F"/>
    <w:rsid w:val="0078683C"/>
    <w:rsid w:val="00790EDB"/>
    <w:rsid w:val="00791538"/>
    <w:rsid w:val="0079326E"/>
    <w:rsid w:val="00796EDE"/>
    <w:rsid w:val="007A511E"/>
    <w:rsid w:val="007A5A58"/>
    <w:rsid w:val="007B14D1"/>
    <w:rsid w:val="007B1C56"/>
    <w:rsid w:val="007B666E"/>
    <w:rsid w:val="007C3CD5"/>
    <w:rsid w:val="007C61EF"/>
    <w:rsid w:val="007D1C0D"/>
    <w:rsid w:val="007D2D23"/>
    <w:rsid w:val="007D6766"/>
    <w:rsid w:val="007E0BE7"/>
    <w:rsid w:val="007E27D6"/>
    <w:rsid w:val="007E3921"/>
    <w:rsid w:val="007E611E"/>
    <w:rsid w:val="00801028"/>
    <w:rsid w:val="00803793"/>
    <w:rsid w:val="00804000"/>
    <w:rsid w:val="0080656A"/>
    <w:rsid w:val="00811BAA"/>
    <w:rsid w:val="00814414"/>
    <w:rsid w:val="00817A01"/>
    <w:rsid w:val="00825E35"/>
    <w:rsid w:val="008263EB"/>
    <w:rsid w:val="00830A4E"/>
    <w:rsid w:val="008334F8"/>
    <w:rsid w:val="00835129"/>
    <w:rsid w:val="00835FFD"/>
    <w:rsid w:val="00845E2A"/>
    <w:rsid w:val="00855C4B"/>
    <w:rsid w:val="0086440C"/>
    <w:rsid w:val="00875542"/>
    <w:rsid w:val="00876659"/>
    <w:rsid w:val="0087734C"/>
    <w:rsid w:val="00882141"/>
    <w:rsid w:val="00883570"/>
    <w:rsid w:val="008876EC"/>
    <w:rsid w:val="008922A8"/>
    <w:rsid w:val="00895BD5"/>
    <w:rsid w:val="0089786C"/>
    <w:rsid w:val="008A16C4"/>
    <w:rsid w:val="008A4525"/>
    <w:rsid w:val="008A4B8C"/>
    <w:rsid w:val="008A6FED"/>
    <w:rsid w:val="008B39C5"/>
    <w:rsid w:val="008B51AA"/>
    <w:rsid w:val="008C2833"/>
    <w:rsid w:val="008C2C78"/>
    <w:rsid w:val="008C67F2"/>
    <w:rsid w:val="008D064A"/>
    <w:rsid w:val="008D2B0F"/>
    <w:rsid w:val="008D5986"/>
    <w:rsid w:val="008E449E"/>
    <w:rsid w:val="008F187F"/>
    <w:rsid w:val="008F37DC"/>
    <w:rsid w:val="008F402F"/>
    <w:rsid w:val="008F76E8"/>
    <w:rsid w:val="0090050D"/>
    <w:rsid w:val="009035CC"/>
    <w:rsid w:val="00903CFE"/>
    <w:rsid w:val="009078A1"/>
    <w:rsid w:val="00911E9C"/>
    <w:rsid w:val="00917405"/>
    <w:rsid w:val="00917F22"/>
    <w:rsid w:val="00920F7C"/>
    <w:rsid w:val="009267A8"/>
    <w:rsid w:val="00930907"/>
    <w:rsid w:val="00934CAE"/>
    <w:rsid w:val="0094257D"/>
    <w:rsid w:val="00950E1B"/>
    <w:rsid w:val="0095467C"/>
    <w:rsid w:val="00954853"/>
    <w:rsid w:val="00954A61"/>
    <w:rsid w:val="00955C6F"/>
    <w:rsid w:val="009621C6"/>
    <w:rsid w:val="00966C7B"/>
    <w:rsid w:val="009701DC"/>
    <w:rsid w:val="009715D8"/>
    <w:rsid w:val="00995BF9"/>
    <w:rsid w:val="009A0CAF"/>
    <w:rsid w:val="009A2207"/>
    <w:rsid w:val="009A71BB"/>
    <w:rsid w:val="009B5DE7"/>
    <w:rsid w:val="009B6C42"/>
    <w:rsid w:val="009D2998"/>
    <w:rsid w:val="009D31F7"/>
    <w:rsid w:val="009D32C2"/>
    <w:rsid w:val="009D4CA7"/>
    <w:rsid w:val="009D50DB"/>
    <w:rsid w:val="009E2932"/>
    <w:rsid w:val="009E2EFA"/>
    <w:rsid w:val="009E3A0A"/>
    <w:rsid w:val="009F2855"/>
    <w:rsid w:val="009F3E91"/>
    <w:rsid w:val="00A133A6"/>
    <w:rsid w:val="00A1499B"/>
    <w:rsid w:val="00A21BB9"/>
    <w:rsid w:val="00A22D57"/>
    <w:rsid w:val="00A314C2"/>
    <w:rsid w:val="00A31867"/>
    <w:rsid w:val="00A33AAC"/>
    <w:rsid w:val="00A63E86"/>
    <w:rsid w:val="00A6485B"/>
    <w:rsid w:val="00A757C3"/>
    <w:rsid w:val="00A75E5B"/>
    <w:rsid w:val="00A7684A"/>
    <w:rsid w:val="00A770AC"/>
    <w:rsid w:val="00A77543"/>
    <w:rsid w:val="00A83B69"/>
    <w:rsid w:val="00A86533"/>
    <w:rsid w:val="00A91CA2"/>
    <w:rsid w:val="00A92FB8"/>
    <w:rsid w:val="00A948F1"/>
    <w:rsid w:val="00AA18F9"/>
    <w:rsid w:val="00AA1D7D"/>
    <w:rsid w:val="00AA2790"/>
    <w:rsid w:val="00AB139D"/>
    <w:rsid w:val="00AB3EFB"/>
    <w:rsid w:val="00AC0B05"/>
    <w:rsid w:val="00AC4353"/>
    <w:rsid w:val="00AC515F"/>
    <w:rsid w:val="00AD079A"/>
    <w:rsid w:val="00AD1890"/>
    <w:rsid w:val="00AD216F"/>
    <w:rsid w:val="00AE2149"/>
    <w:rsid w:val="00AE33AE"/>
    <w:rsid w:val="00AE3F91"/>
    <w:rsid w:val="00B0053D"/>
    <w:rsid w:val="00B039E3"/>
    <w:rsid w:val="00B06D36"/>
    <w:rsid w:val="00B20F79"/>
    <w:rsid w:val="00B22838"/>
    <w:rsid w:val="00B33E95"/>
    <w:rsid w:val="00B3720B"/>
    <w:rsid w:val="00B4013B"/>
    <w:rsid w:val="00B470E1"/>
    <w:rsid w:val="00B50317"/>
    <w:rsid w:val="00B5558A"/>
    <w:rsid w:val="00B56513"/>
    <w:rsid w:val="00B64376"/>
    <w:rsid w:val="00B7401F"/>
    <w:rsid w:val="00B806C3"/>
    <w:rsid w:val="00B80D6F"/>
    <w:rsid w:val="00B84FCA"/>
    <w:rsid w:val="00B9089F"/>
    <w:rsid w:val="00B91AEE"/>
    <w:rsid w:val="00B93AEE"/>
    <w:rsid w:val="00B95F5A"/>
    <w:rsid w:val="00B95FDD"/>
    <w:rsid w:val="00B96EAD"/>
    <w:rsid w:val="00BA636F"/>
    <w:rsid w:val="00BA645B"/>
    <w:rsid w:val="00BA79F5"/>
    <w:rsid w:val="00BB3AB6"/>
    <w:rsid w:val="00BB766D"/>
    <w:rsid w:val="00BC007B"/>
    <w:rsid w:val="00BC26BA"/>
    <w:rsid w:val="00BC35F8"/>
    <w:rsid w:val="00BC4852"/>
    <w:rsid w:val="00BC7D7F"/>
    <w:rsid w:val="00BD33A9"/>
    <w:rsid w:val="00BF1A9C"/>
    <w:rsid w:val="00BF376F"/>
    <w:rsid w:val="00BF46A6"/>
    <w:rsid w:val="00BF71FB"/>
    <w:rsid w:val="00C06545"/>
    <w:rsid w:val="00C077C7"/>
    <w:rsid w:val="00C108CF"/>
    <w:rsid w:val="00C134AF"/>
    <w:rsid w:val="00C16996"/>
    <w:rsid w:val="00C220FC"/>
    <w:rsid w:val="00C24DFA"/>
    <w:rsid w:val="00C30182"/>
    <w:rsid w:val="00C37BC4"/>
    <w:rsid w:val="00C46A36"/>
    <w:rsid w:val="00C47037"/>
    <w:rsid w:val="00C53625"/>
    <w:rsid w:val="00C548BA"/>
    <w:rsid w:val="00C57784"/>
    <w:rsid w:val="00C602C1"/>
    <w:rsid w:val="00C60392"/>
    <w:rsid w:val="00C63FC0"/>
    <w:rsid w:val="00C65D7D"/>
    <w:rsid w:val="00C66392"/>
    <w:rsid w:val="00C67B2C"/>
    <w:rsid w:val="00C74C5E"/>
    <w:rsid w:val="00C827A2"/>
    <w:rsid w:val="00C827DA"/>
    <w:rsid w:val="00C82B69"/>
    <w:rsid w:val="00C83062"/>
    <w:rsid w:val="00C86C9C"/>
    <w:rsid w:val="00C902DE"/>
    <w:rsid w:val="00C91B28"/>
    <w:rsid w:val="00C91F3A"/>
    <w:rsid w:val="00CB20B2"/>
    <w:rsid w:val="00CB218D"/>
    <w:rsid w:val="00CB5797"/>
    <w:rsid w:val="00CC6E5D"/>
    <w:rsid w:val="00CD09E1"/>
    <w:rsid w:val="00CE1780"/>
    <w:rsid w:val="00CE4913"/>
    <w:rsid w:val="00CE66BD"/>
    <w:rsid w:val="00CF0671"/>
    <w:rsid w:val="00CF44AD"/>
    <w:rsid w:val="00CF4FC0"/>
    <w:rsid w:val="00D027E0"/>
    <w:rsid w:val="00D03496"/>
    <w:rsid w:val="00D1072F"/>
    <w:rsid w:val="00D108A5"/>
    <w:rsid w:val="00D14585"/>
    <w:rsid w:val="00D20EFF"/>
    <w:rsid w:val="00D32658"/>
    <w:rsid w:val="00D35A3E"/>
    <w:rsid w:val="00D42C58"/>
    <w:rsid w:val="00D46B47"/>
    <w:rsid w:val="00D520F5"/>
    <w:rsid w:val="00D53ED8"/>
    <w:rsid w:val="00D64857"/>
    <w:rsid w:val="00D6493A"/>
    <w:rsid w:val="00D67875"/>
    <w:rsid w:val="00D71E86"/>
    <w:rsid w:val="00D731C6"/>
    <w:rsid w:val="00D73CC6"/>
    <w:rsid w:val="00D745C5"/>
    <w:rsid w:val="00D75327"/>
    <w:rsid w:val="00D80C36"/>
    <w:rsid w:val="00D81A32"/>
    <w:rsid w:val="00D84E23"/>
    <w:rsid w:val="00D86EE1"/>
    <w:rsid w:val="00D95E90"/>
    <w:rsid w:val="00D96126"/>
    <w:rsid w:val="00DA2FD5"/>
    <w:rsid w:val="00DA4509"/>
    <w:rsid w:val="00DB4B1C"/>
    <w:rsid w:val="00DB5085"/>
    <w:rsid w:val="00DB619F"/>
    <w:rsid w:val="00DB7882"/>
    <w:rsid w:val="00DC1062"/>
    <w:rsid w:val="00DC132C"/>
    <w:rsid w:val="00DC65BA"/>
    <w:rsid w:val="00DD43F0"/>
    <w:rsid w:val="00DD44DE"/>
    <w:rsid w:val="00DE09AB"/>
    <w:rsid w:val="00DE4A3F"/>
    <w:rsid w:val="00DE5A99"/>
    <w:rsid w:val="00DF4367"/>
    <w:rsid w:val="00E0574A"/>
    <w:rsid w:val="00E1243D"/>
    <w:rsid w:val="00E12742"/>
    <w:rsid w:val="00E13D0C"/>
    <w:rsid w:val="00E146D4"/>
    <w:rsid w:val="00E22B44"/>
    <w:rsid w:val="00E30ACD"/>
    <w:rsid w:val="00E32735"/>
    <w:rsid w:val="00E66E36"/>
    <w:rsid w:val="00E702ED"/>
    <w:rsid w:val="00E709A4"/>
    <w:rsid w:val="00E772DB"/>
    <w:rsid w:val="00E80487"/>
    <w:rsid w:val="00E86012"/>
    <w:rsid w:val="00E86BAB"/>
    <w:rsid w:val="00E94E10"/>
    <w:rsid w:val="00E96743"/>
    <w:rsid w:val="00E96A42"/>
    <w:rsid w:val="00EA38D8"/>
    <w:rsid w:val="00EA49C5"/>
    <w:rsid w:val="00EB5027"/>
    <w:rsid w:val="00EC1836"/>
    <w:rsid w:val="00EC3990"/>
    <w:rsid w:val="00EC484B"/>
    <w:rsid w:val="00EC4F03"/>
    <w:rsid w:val="00EC52E5"/>
    <w:rsid w:val="00ED0B62"/>
    <w:rsid w:val="00ED15FA"/>
    <w:rsid w:val="00EE2610"/>
    <w:rsid w:val="00EE37EE"/>
    <w:rsid w:val="00EE6E9A"/>
    <w:rsid w:val="00EF2AC4"/>
    <w:rsid w:val="00EF397E"/>
    <w:rsid w:val="00EF46A4"/>
    <w:rsid w:val="00EF7980"/>
    <w:rsid w:val="00F06F68"/>
    <w:rsid w:val="00F1362B"/>
    <w:rsid w:val="00F24C2D"/>
    <w:rsid w:val="00F32A81"/>
    <w:rsid w:val="00F46998"/>
    <w:rsid w:val="00F5061E"/>
    <w:rsid w:val="00F52B9C"/>
    <w:rsid w:val="00F5382D"/>
    <w:rsid w:val="00F53D9C"/>
    <w:rsid w:val="00F5462B"/>
    <w:rsid w:val="00F57205"/>
    <w:rsid w:val="00F634AD"/>
    <w:rsid w:val="00F63677"/>
    <w:rsid w:val="00F6731E"/>
    <w:rsid w:val="00F71124"/>
    <w:rsid w:val="00F75B81"/>
    <w:rsid w:val="00F804C4"/>
    <w:rsid w:val="00F816F3"/>
    <w:rsid w:val="00F81E05"/>
    <w:rsid w:val="00F824F3"/>
    <w:rsid w:val="00F82F83"/>
    <w:rsid w:val="00F92B30"/>
    <w:rsid w:val="00F933B9"/>
    <w:rsid w:val="00F94674"/>
    <w:rsid w:val="00F94919"/>
    <w:rsid w:val="00F94A59"/>
    <w:rsid w:val="00F95DCE"/>
    <w:rsid w:val="00FA0CAF"/>
    <w:rsid w:val="00FA25B6"/>
    <w:rsid w:val="00FA2FAF"/>
    <w:rsid w:val="00FA64B1"/>
    <w:rsid w:val="00FA70F3"/>
    <w:rsid w:val="00FA71CD"/>
    <w:rsid w:val="00FB0453"/>
    <w:rsid w:val="00FB0C07"/>
    <w:rsid w:val="00FB2191"/>
    <w:rsid w:val="00FB298D"/>
    <w:rsid w:val="00FC1439"/>
    <w:rsid w:val="00FC724B"/>
    <w:rsid w:val="00FC7910"/>
    <w:rsid w:val="00FD01E0"/>
    <w:rsid w:val="00FF0DA7"/>
    <w:rsid w:val="00FF44E0"/>
    <w:rsid w:val="00FF6C72"/>
    <w:rsid w:val="01C5798C"/>
    <w:rsid w:val="02C6562A"/>
    <w:rsid w:val="03243363"/>
    <w:rsid w:val="03C41AC0"/>
    <w:rsid w:val="03EC7816"/>
    <w:rsid w:val="068207AF"/>
    <w:rsid w:val="0793520B"/>
    <w:rsid w:val="07EA2595"/>
    <w:rsid w:val="084A3DE1"/>
    <w:rsid w:val="08630A8D"/>
    <w:rsid w:val="0A4773DF"/>
    <w:rsid w:val="0A582F0A"/>
    <w:rsid w:val="0E121122"/>
    <w:rsid w:val="0F356615"/>
    <w:rsid w:val="0F41728B"/>
    <w:rsid w:val="10360822"/>
    <w:rsid w:val="11284D72"/>
    <w:rsid w:val="11AF4651"/>
    <w:rsid w:val="133E1BBC"/>
    <w:rsid w:val="135F5953"/>
    <w:rsid w:val="144533BC"/>
    <w:rsid w:val="15567F1B"/>
    <w:rsid w:val="160F4835"/>
    <w:rsid w:val="162C5FD5"/>
    <w:rsid w:val="16DB6ACD"/>
    <w:rsid w:val="178F12D5"/>
    <w:rsid w:val="17DE149F"/>
    <w:rsid w:val="1B024E3A"/>
    <w:rsid w:val="1C06304C"/>
    <w:rsid w:val="1D3332DC"/>
    <w:rsid w:val="1DBC55CD"/>
    <w:rsid w:val="1EA07634"/>
    <w:rsid w:val="1EAA2E19"/>
    <w:rsid w:val="1FE80D0C"/>
    <w:rsid w:val="20091CE5"/>
    <w:rsid w:val="224533E2"/>
    <w:rsid w:val="22A2181A"/>
    <w:rsid w:val="232A1BD6"/>
    <w:rsid w:val="239A2B63"/>
    <w:rsid w:val="23BF2799"/>
    <w:rsid w:val="26AF607F"/>
    <w:rsid w:val="26F76C69"/>
    <w:rsid w:val="27ED1DF8"/>
    <w:rsid w:val="28B16074"/>
    <w:rsid w:val="29F550A7"/>
    <w:rsid w:val="2B7E4D26"/>
    <w:rsid w:val="2BAB5282"/>
    <w:rsid w:val="2C3D77A3"/>
    <w:rsid w:val="2C49782D"/>
    <w:rsid w:val="2C4D77E5"/>
    <w:rsid w:val="2CDB298D"/>
    <w:rsid w:val="2D070CEB"/>
    <w:rsid w:val="2E672C71"/>
    <w:rsid w:val="31E702AC"/>
    <w:rsid w:val="32A5163F"/>
    <w:rsid w:val="32A97618"/>
    <w:rsid w:val="342A06C4"/>
    <w:rsid w:val="37CC2213"/>
    <w:rsid w:val="39C66BB3"/>
    <w:rsid w:val="3B14264B"/>
    <w:rsid w:val="3DB841A9"/>
    <w:rsid w:val="3F7F2DD8"/>
    <w:rsid w:val="3FEF39E7"/>
    <w:rsid w:val="41816442"/>
    <w:rsid w:val="4314585F"/>
    <w:rsid w:val="46405C53"/>
    <w:rsid w:val="47015336"/>
    <w:rsid w:val="475F3147"/>
    <w:rsid w:val="48DA5540"/>
    <w:rsid w:val="495276D6"/>
    <w:rsid w:val="498D5250"/>
    <w:rsid w:val="49D55CCE"/>
    <w:rsid w:val="49EC0F63"/>
    <w:rsid w:val="4D09524C"/>
    <w:rsid w:val="4E2A2EE6"/>
    <w:rsid w:val="4EA51EDE"/>
    <w:rsid w:val="4EE206B5"/>
    <w:rsid w:val="4EE4720A"/>
    <w:rsid w:val="50546CB9"/>
    <w:rsid w:val="50C81019"/>
    <w:rsid w:val="517775AB"/>
    <w:rsid w:val="518D19E4"/>
    <w:rsid w:val="51A62166"/>
    <w:rsid w:val="52377BBE"/>
    <w:rsid w:val="524C4B47"/>
    <w:rsid w:val="542A116C"/>
    <w:rsid w:val="57980DFC"/>
    <w:rsid w:val="587638CE"/>
    <w:rsid w:val="58AB549D"/>
    <w:rsid w:val="5943582A"/>
    <w:rsid w:val="5A3A3165"/>
    <w:rsid w:val="5A714759"/>
    <w:rsid w:val="5BB04E96"/>
    <w:rsid w:val="5C781B7C"/>
    <w:rsid w:val="5DF71473"/>
    <w:rsid w:val="5E1E5042"/>
    <w:rsid w:val="5E250D94"/>
    <w:rsid w:val="5E665453"/>
    <w:rsid w:val="5F3959A0"/>
    <w:rsid w:val="5FDF3D7D"/>
    <w:rsid w:val="612B4AEE"/>
    <w:rsid w:val="61BE3E69"/>
    <w:rsid w:val="62A80513"/>
    <w:rsid w:val="63AE31D4"/>
    <w:rsid w:val="63D50A9C"/>
    <w:rsid w:val="65484AD0"/>
    <w:rsid w:val="65FD2B4C"/>
    <w:rsid w:val="66087FC2"/>
    <w:rsid w:val="67514A76"/>
    <w:rsid w:val="681F1462"/>
    <w:rsid w:val="68A314B6"/>
    <w:rsid w:val="6B671F23"/>
    <w:rsid w:val="6B9B4BDC"/>
    <w:rsid w:val="6CA717F5"/>
    <w:rsid w:val="6DA7793D"/>
    <w:rsid w:val="6DEF78F0"/>
    <w:rsid w:val="701E2494"/>
    <w:rsid w:val="725F06B6"/>
    <w:rsid w:val="72DE69F0"/>
    <w:rsid w:val="749A5433"/>
    <w:rsid w:val="751122B7"/>
    <w:rsid w:val="761009CA"/>
    <w:rsid w:val="7616356C"/>
    <w:rsid w:val="76365E0C"/>
    <w:rsid w:val="77A92D5F"/>
    <w:rsid w:val="791B61E3"/>
    <w:rsid w:val="797B6EE2"/>
    <w:rsid w:val="799B102A"/>
    <w:rsid w:val="7AD941D6"/>
    <w:rsid w:val="7B3C7956"/>
    <w:rsid w:val="7B4F53C9"/>
    <w:rsid w:val="7C426AB6"/>
    <w:rsid w:val="7C92624A"/>
    <w:rsid w:val="7D1936A8"/>
    <w:rsid w:val="7D1D26E5"/>
    <w:rsid w:val="7D685476"/>
    <w:rsid w:val="7D793A01"/>
    <w:rsid w:val="7E2E26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仿宋_GB2312" w:hAnsi="@仿宋_GB2312" w:eastAsia="@仿宋_GB2312" w:cs="@仿宋_GB2312"/>
      <w:kern w:val="2"/>
      <w:sz w:val="21"/>
      <w:lang w:val="en-US" w:eastAsia="zh-CN" w:bidi="ar-SA"/>
    </w:rPr>
  </w:style>
  <w:style w:type="paragraph" w:styleId="3">
    <w:name w:val="heading 1"/>
    <w:basedOn w:val="1"/>
    <w:next w:val="1"/>
    <w:link w:val="47"/>
    <w:autoRedefine/>
    <w:qFormat/>
    <w:uiPriority w:val="9"/>
    <w:pPr>
      <w:keepNext/>
      <w:keepLines/>
      <w:spacing w:before="340" w:after="330" w:line="578" w:lineRule="auto"/>
      <w:outlineLvl w:val="0"/>
    </w:pPr>
    <w:rPr>
      <w:b/>
      <w:bCs/>
      <w:kern w:val="44"/>
      <w:sz w:val="44"/>
      <w:szCs w:val="44"/>
    </w:rPr>
  </w:style>
  <w:style w:type="paragraph" w:styleId="4">
    <w:name w:val="heading 3"/>
    <w:basedOn w:val="1"/>
    <w:next w:val="1"/>
    <w:link w:val="49"/>
    <w:autoRedefine/>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54"/>
    <w:autoRedefine/>
    <w:qFormat/>
    <w:uiPriority w:val="0"/>
    <w:pPr>
      <w:keepNext/>
      <w:keepLines/>
      <w:spacing w:before="280" w:after="290" w:line="376" w:lineRule="auto"/>
      <w:outlineLvl w:val="3"/>
    </w:pPr>
    <w:rPr>
      <w:b/>
      <w:bCs/>
      <w:sz w:val="28"/>
      <w:szCs w:val="28"/>
    </w:rPr>
  </w:style>
  <w:style w:type="character" w:default="1" w:styleId="25">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pPr>
      <w:spacing w:after="120"/>
    </w:pPr>
    <w:rPr>
      <w:rFonts w:ascii="@微软简标宋" w:hAnsi="@微软简标宋" w:eastAsia="@微软简标宋" w:cs="@微软简标宋"/>
      <w:szCs w:val="24"/>
      <w:lang w:val="zh-CN"/>
    </w:rPr>
  </w:style>
  <w:style w:type="paragraph" w:styleId="6">
    <w:name w:val="Normal Indent"/>
    <w:basedOn w:val="1"/>
    <w:autoRedefine/>
    <w:qFormat/>
    <w:uiPriority w:val="0"/>
    <w:pPr>
      <w:autoSpaceDE w:val="0"/>
      <w:autoSpaceDN w:val="0"/>
      <w:adjustRightInd w:val="0"/>
      <w:ind w:firstLine="420"/>
      <w:jc w:val="left"/>
    </w:pPr>
    <w:rPr>
      <w:rFonts w:ascii="宋体" w:hAnsi="Times New Roman" w:eastAsia="宋体" w:cs="Times New Roman"/>
      <w:kern w:val="0"/>
      <w:sz w:val="24"/>
    </w:rPr>
  </w:style>
  <w:style w:type="paragraph" w:styleId="7">
    <w:name w:val="annotation text"/>
    <w:basedOn w:val="1"/>
    <w:link w:val="46"/>
    <w:autoRedefine/>
    <w:qFormat/>
    <w:uiPriority w:val="0"/>
    <w:pPr>
      <w:jc w:val="left"/>
    </w:pPr>
    <w:rPr>
      <w:rFonts w:ascii="Arial" w:hAnsi="Arial" w:eastAsia="黑体" w:cs="Arial"/>
    </w:rPr>
  </w:style>
  <w:style w:type="paragraph" w:styleId="8">
    <w:name w:val="Body Text Indent"/>
    <w:basedOn w:val="1"/>
    <w:next w:val="9"/>
    <w:autoRedefine/>
    <w:qFormat/>
    <w:uiPriority w:val="99"/>
    <w:pPr>
      <w:spacing w:after="120" w:line="360" w:lineRule="atLeast"/>
      <w:ind w:left="420"/>
    </w:pPr>
    <w:rPr>
      <w:sz w:val="24"/>
    </w:rPr>
  </w:style>
  <w:style w:type="paragraph" w:styleId="9">
    <w:name w:val="envelope return"/>
    <w:basedOn w:val="1"/>
    <w:autoRedefine/>
    <w:qFormat/>
    <w:uiPriority w:val="0"/>
    <w:pPr>
      <w:snapToGrid w:val="0"/>
    </w:pPr>
    <w:rPr>
      <w:rFonts w:ascii="Arial" w:hAnsi="Arial"/>
    </w:rPr>
  </w:style>
  <w:style w:type="paragraph" w:styleId="10">
    <w:name w:val="toc 3"/>
    <w:basedOn w:val="1"/>
    <w:next w:val="1"/>
    <w:autoRedefine/>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1">
    <w:name w:val="Plain Text"/>
    <w:basedOn w:val="1"/>
    <w:link w:val="36"/>
    <w:autoRedefine/>
    <w:qFormat/>
    <w:uiPriority w:val="99"/>
    <w:rPr>
      <w:rFonts w:ascii="宋体" w:hAnsi="Courier New" w:eastAsiaTheme="minorEastAsia" w:cstheme="minorBidi"/>
      <w:szCs w:val="22"/>
    </w:rPr>
  </w:style>
  <w:style w:type="paragraph" w:styleId="12">
    <w:name w:val="Date"/>
    <w:basedOn w:val="1"/>
    <w:next w:val="1"/>
    <w:link w:val="43"/>
    <w:autoRedefine/>
    <w:qFormat/>
    <w:uiPriority w:val="0"/>
    <w:rPr>
      <w:rFonts w:ascii="Arial" w:hAnsi="Arial" w:eastAsia="宋体" w:cs="Arial"/>
      <w:b/>
      <w:sz w:val="28"/>
    </w:rPr>
  </w:style>
  <w:style w:type="paragraph" w:styleId="13">
    <w:name w:val="Balloon Text"/>
    <w:basedOn w:val="1"/>
    <w:link w:val="30"/>
    <w:autoRedefine/>
    <w:semiHidden/>
    <w:unhideWhenUsed/>
    <w:qFormat/>
    <w:uiPriority w:val="99"/>
    <w:rPr>
      <w:sz w:val="18"/>
      <w:szCs w:val="18"/>
    </w:rPr>
  </w:style>
  <w:style w:type="paragraph" w:styleId="14">
    <w:name w:val="footer"/>
    <w:basedOn w:val="1"/>
    <w:link w:val="35"/>
    <w:autoRedefine/>
    <w:unhideWhenUsed/>
    <w:qFormat/>
    <w:uiPriority w:val="99"/>
    <w:pPr>
      <w:tabs>
        <w:tab w:val="center" w:pos="4153"/>
        <w:tab w:val="right" w:pos="8306"/>
      </w:tabs>
      <w:snapToGrid w:val="0"/>
      <w:jc w:val="left"/>
    </w:pPr>
    <w:rPr>
      <w:sz w:val="18"/>
      <w:szCs w:val="18"/>
    </w:rPr>
  </w:style>
  <w:style w:type="paragraph" w:styleId="15">
    <w:name w:val="header"/>
    <w:basedOn w:val="1"/>
    <w:link w:val="34"/>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unhideWhenUsed/>
    <w:qFormat/>
    <w:uiPriority w:val="39"/>
    <w:pPr>
      <w:widowControl/>
      <w:spacing w:after="100" w:line="276" w:lineRule="auto"/>
      <w:jc w:val="left"/>
    </w:pPr>
    <w:rPr>
      <w:rFonts w:asciiTheme="minorHAnsi" w:hAnsiTheme="minorHAnsi" w:eastAsiaTheme="minorEastAsia" w:cstheme="minorBidi"/>
      <w:kern w:val="0"/>
      <w:sz w:val="22"/>
      <w:szCs w:val="22"/>
    </w:rPr>
  </w:style>
  <w:style w:type="paragraph" w:styleId="17">
    <w:name w:val="List"/>
    <w:basedOn w:val="1"/>
    <w:autoRedefine/>
    <w:qFormat/>
    <w:uiPriority w:val="0"/>
    <w:pPr>
      <w:adjustRightInd w:val="0"/>
      <w:spacing w:line="360" w:lineRule="atLeast"/>
      <w:ind w:left="420" w:hanging="420"/>
      <w:jc w:val="left"/>
    </w:pPr>
    <w:rPr>
      <w:rFonts w:hint="eastAsia" w:ascii="宋体"/>
      <w:kern w:val="0"/>
      <w:sz w:val="24"/>
    </w:rPr>
  </w:style>
  <w:style w:type="paragraph" w:styleId="18">
    <w:name w:val="footnote text"/>
    <w:basedOn w:val="1"/>
    <w:autoRedefine/>
    <w:semiHidden/>
    <w:unhideWhenUsed/>
    <w:qFormat/>
    <w:uiPriority w:val="99"/>
    <w:pPr>
      <w:snapToGrid w:val="0"/>
      <w:jc w:val="left"/>
    </w:pPr>
    <w:rPr>
      <w:sz w:val="18"/>
    </w:rPr>
  </w:style>
  <w:style w:type="paragraph" w:styleId="19">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20">
    <w:name w:val="index 1"/>
    <w:basedOn w:val="1"/>
    <w:next w:val="1"/>
    <w:autoRedefine/>
    <w:qFormat/>
    <w:uiPriority w:val="0"/>
    <w:pPr>
      <w:jc w:val="center"/>
    </w:pPr>
    <w:rPr>
      <w:rFonts w:ascii="Arial" w:hAnsi="Arial" w:eastAsia="Arial" w:cs="Arial"/>
      <w:b/>
      <w:bCs/>
      <w:sz w:val="28"/>
    </w:rPr>
  </w:style>
  <w:style w:type="paragraph" w:styleId="21">
    <w:name w:val="Body Text First Indent"/>
    <w:basedOn w:val="2"/>
    <w:autoRedefine/>
    <w:unhideWhenUsed/>
    <w:qFormat/>
    <w:uiPriority w:val="99"/>
    <w:pPr>
      <w:ind w:firstLine="420" w:firstLineChars="100"/>
    </w:pPr>
  </w:style>
  <w:style w:type="paragraph" w:styleId="22">
    <w:name w:val="Body Text First Indent 2"/>
    <w:basedOn w:val="8"/>
    <w:next w:val="17"/>
    <w:autoRedefine/>
    <w:qFormat/>
    <w:uiPriority w:val="99"/>
    <w:pPr>
      <w:ind w:firstLine="420" w:firstLineChars="200"/>
    </w:pPr>
  </w:style>
  <w:style w:type="table" w:styleId="24">
    <w:name w:val="Table Grid"/>
    <w:basedOn w:val="23"/>
    <w:autoRedefine/>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autoRedefine/>
    <w:qFormat/>
    <w:uiPriority w:val="0"/>
    <w:rPr>
      <w:b/>
      <w:bCs/>
    </w:rPr>
  </w:style>
  <w:style w:type="character" w:styleId="27">
    <w:name w:val="Hyperlink"/>
    <w:basedOn w:val="25"/>
    <w:autoRedefine/>
    <w:unhideWhenUsed/>
    <w:qFormat/>
    <w:uiPriority w:val="99"/>
    <w:rPr>
      <w:color w:val="0000FF" w:themeColor="hyperlink"/>
      <w:u w:val="single"/>
      <w14:textFill>
        <w14:solidFill>
          <w14:schemeClr w14:val="hlink"/>
        </w14:solidFill>
      </w14:textFill>
    </w:rPr>
  </w:style>
  <w:style w:type="character" w:styleId="28">
    <w:name w:val="footnote reference"/>
    <w:basedOn w:val="25"/>
    <w:autoRedefine/>
    <w:semiHidden/>
    <w:unhideWhenUsed/>
    <w:qFormat/>
    <w:uiPriority w:val="99"/>
    <w:rPr>
      <w:vertAlign w:val="superscript"/>
    </w:rPr>
  </w:style>
  <w:style w:type="paragraph" w:customStyle="1" w:styleId="29">
    <w:name w:val="[Normal]"/>
    <w:autoRedefine/>
    <w:qFormat/>
    <w:uiPriority w:val="99"/>
    <w:rPr>
      <w:rFonts w:ascii="宋体" w:hAnsi="宋体" w:eastAsia="宋体" w:cs="Times New Roman"/>
      <w:sz w:val="24"/>
      <w:szCs w:val="22"/>
      <w:lang w:val="zh-CN" w:eastAsia="zh-CN" w:bidi="ar-SA"/>
    </w:rPr>
  </w:style>
  <w:style w:type="character" w:customStyle="1" w:styleId="30">
    <w:name w:val="批注框文本 Char"/>
    <w:basedOn w:val="25"/>
    <w:link w:val="13"/>
    <w:autoRedefine/>
    <w:semiHidden/>
    <w:qFormat/>
    <w:uiPriority w:val="99"/>
    <w:rPr>
      <w:rFonts w:ascii="@仿宋_GB2312" w:hAnsi="@仿宋_GB2312" w:eastAsia="@仿宋_GB2312" w:cs="@仿宋_GB2312"/>
      <w:sz w:val="18"/>
      <w:szCs w:val="18"/>
    </w:rPr>
  </w:style>
  <w:style w:type="paragraph" w:customStyle="1" w:styleId="31">
    <w:name w:val="正文（缩进）"/>
    <w:basedOn w:val="1"/>
    <w:autoRedefine/>
    <w:qFormat/>
    <w:uiPriority w:val="0"/>
    <w:pPr>
      <w:widowControl/>
      <w:spacing w:before="156" w:after="156"/>
      <w:ind w:firstLine="480" w:firstLineChars="200"/>
      <w:jc w:val="left"/>
    </w:pPr>
    <w:rPr>
      <w:kern w:val="0"/>
      <w:sz w:val="24"/>
      <w:szCs w:val="24"/>
    </w:rPr>
  </w:style>
  <w:style w:type="paragraph" w:customStyle="1" w:styleId="32">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33">
    <w:name w:val="D&amp;L"/>
    <w:basedOn w:val="15"/>
    <w:autoRedefine/>
    <w:qFormat/>
    <w:uiPriority w:val="0"/>
    <w:pPr>
      <w:pBdr>
        <w:bottom w:val="thinThickSmallGap" w:color="auto" w:sz="18" w:space="1"/>
      </w:pBdr>
      <w:adjustRightInd w:val="0"/>
      <w:snapToGrid/>
      <w:spacing w:line="240" w:lineRule="atLeast"/>
      <w:textAlignment w:val="baseline"/>
    </w:pPr>
    <w:rPr>
      <w:kern w:val="0"/>
      <w:sz w:val="24"/>
      <w:szCs w:val="20"/>
    </w:rPr>
  </w:style>
  <w:style w:type="character" w:customStyle="1" w:styleId="34">
    <w:name w:val="页眉 Char"/>
    <w:basedOn w:val="25"/>
    <w:link w:val="15"/>
    <w:autoRedefine/>
    <w:qFormat/>
    <w:uiPriority w:val="99"/>
    <w:rPr>
      <w:rFonts w:ascii="@仿宋_GB2312" w:hAnsi="@仿宋_GB2312" w:eastAsia="@仿宋_GB2312" w:cs="@仿宋_GB2312"/>
      <w:sz w:val="18"/>
      <w:szCs w:val="18"/>
    </w:rPr>
  </w:style>
  <w:style w:type="character" w:customStyle="1" w:styleId="35">
    <w:name w:val="页脚 Char"/>
    <w:basedOn w:val="25"/>
    <w:link w:val="14"/>
    <w:autoRedefine/>
    <w:qFormat/>
    <w:uiPriority w:val="99"/>
    <w:rPr>
      <w:rFonts w:ascii="@仿宋_GB2312" w:hAnsi="@仿宋_GB2312" w:eastAsia="@仿宋_GB2312" w:cs="@仿宋_GB2312"/>
      <w:sz w:val="18"/>
      <w:szCs w:val="18"/>
    </w:rPr>
  </w:style>
  <w:style w:type="character" w:customStyle="1" w:styleId="36">
    <w:name w:val="纯文本 Char"/>
    <w:link w:val="11"/>
    <w:autoRedefine/>
    <w:qFormat/>
    <w:uiPriority w:val="0"/>
    <w:rPr>
      <w:rFonts w:ascii="宋体" w:hAnsi="Courier New"/>
    </w:rPr>
  </w:style>
  <w:style w:type="character" w:customStyle="1" w:styleId="37">
    <w:name w:val="纯文本 字符1"/>
    <w:basedOn w:val="25"/>
    <w:autoRedefine/>
    <w:semiHidden/>
    <w:qFormat/>
    <w:uiPriority w:val="99"/>
    <w:rPr>
      <w:rFonts w:hAnsi="Courier New" w:cs="Courier New" w:asciiTheme="minorEastAsia"/>
      <w:szCs w:val="20"/>
    </w:rPr>
  </w:style>
  <w:style w:type="character" w:customStyle="1" w:styleId="38">
    <w:name w:val="未处理的提及1"/>
    <w:basedOn w:val="25"/>
    <w:autoRedefine/>
    <w:semiHidden/>
    <w:unhideWhenUsed/>
    <w:qFormat/>
    <w:uiPriority w:val="99"/>
    <w:rPr>
      <w:color w:val="605E5C"/>
      <w:shd w:val="clear" w:color="auto" w:fill="E1DFDD"/>
    </w:rPr>
  </w:style>
  <w:style w:type="paragraph" w:styleId="39">
    <w:name w:val="List Paragraph"/>
    <w:basedOn w:val="1"/>
    <w:autoRedefine/>
    <w:qFormat/>
    <w:uiPriority w:val="34"/>
    <w:pPr>
      <w:ind w:firstLine="420" w:firstLineChars="200"/>
    </w:pPr>
  </w:style>
  <w:style w:type="paragraph" w:customStyle="1" w:styleId="40">
    <w:name w:val="Char Char Char Char Char Char Char1 Char"/>
    <w:basedOn w:val="1"/>
    <w:autoRedefine/>
    <w:qFormat/>
    <w:uiPriority w:val="0"/>
    <w:rPr>
      <w:rFonts w:ascii="Arial" w:hAnsi="Arial" w:eastAsia="宋体" w:cs="Arial"/>
      <w:sz w:val="24"/>
    </w:rPr>
  </w:style>
  <w:style w:type="table" w:customStyle="1" w:styleId="41">
    <w:name w:val="网格表 1 浅色1"/>
    <w:basedOn w:val="23"/>
    <w:autoRedefine/>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42">
    <w:name w:val="日期 字符"/>
    <w:basedOn w:val="25"/>
    <w:autoRedefine/>
    <w:semiHidden/>
    <w:qFormat/>
    <w:uiPriority w:val="99"/>
    <w:rPr>
      <w:rFonts w:ascii="@仿宋_GB2312" w:hAnsi="@仿宋_GB2312" w:eastAsia="@仿宋_GB2312" w:cs="@仿宋_GB2312"/>
      <w:szCs w:val="20"/>
    </w:rPr>
  </w:style>
  <w:style w:type="character" w:customStyle="1" w:styleId="43">
    <w:name w:val="日期 Char"/>
    <w:link w:val="12"/>
    <w:autoRedefine/>
    <w:qFormat/>
    <w:uiPriority w:val="0"/>
    <w:rPr>
      <w:rFonts w:ascii="Arial" w:hAnsi="Arial" w:eastAsia="宋体" w:cs="Arial"/>
      <w:b/>
      <w:sz w:val="28"/>
      <w:szCs w:val="20"/>
    </w:rPr>
  </w:style>
  <w:style w:type="character" w:customStyle="1" w:styleId="44">
    <w:name w:val="纯文本 Char1"/>
    <w:autoRedefine/>
    <w:qFormat/>
    <w:locked/>
    <w:uiPriority w:val="99"/>
    <w:rPr>
      <w:rFonts w:ascii="Arial" w:hAnsi="Arial" w:eastAsia="Arial"/>
      <w:kern w:val="2"/>
      <w:sz w:val="21"/>
      <w:lang w:val="en-US" w:eastAsia="zh-CN" w:bidi="ar-SA"/>
    </w:rPr>
  </w:style>
  <w:style w:type="character" w:customStyle="1" w:styleId="45">
    <w:name w:val="批注文字 Char"/>
    <w:basedOn w:val="25"/>
    <w:autoRedefine/>
    <w:semiHidden/>
    <w:qFormat/>
    <w:uiPriority w:val="99"/>
    <w:rPr>
      <w:rFonts w:ascii="@仿宋_GB2312" w:hAnsi="@仿宋_GB2312" w:eastAsia="@仿宋_GB2312" w:cs="@仿宋_GB2312"/>
      <w:szCs w:val="20"/>
    </w:rPr>
  </w:style>
  <w:style w:type="character" w:customStyle="1" w:styleId="46">
    <w:name w:val="批注文字 Char1"/>
    <w:link w:val="7"/>
    <w:autoRedefine/>
    <w:qFormat/>
    <w:uiPriority w:val="0"/>
    <w:rPr>
      <w:rFonts w:ascii="Arial" w:hAnsi="Arial" w:eastAsia="黑体" w:cs="Arial"/>
      <w:szCs w:val="20"/>
    </w:rPr>
  </w:style>
  <w:style w:type="character" w:customStyle="1" w:styleId="47">
    <w:name w:val="标题 1 Char"/>
    <w:basedOn w:val="25"/>
    <w:link w:val="3"/>
    <w:autoRedefine/>
    <w:qFormat/>
    <w:uiPriority w:val="9"/>
    <w:rPr>
      <w:rFonts w:ascii="@仿宋_GB2312" w:hAnsi="@仿宋_GB2312" w:eastAsia="@仿宋_GB2312" w:cs="@仿宋_GB2312"/>
      <w:b/>
      <w:bCs/>
      <w:kern w:val="44"/>
      <w:sz w:val="44"/>
      <w:szCs w:val="44"/>
    </w:rPr>
  </w:style>
  <w:style w:type="paragraph" w:customStyle="1" w:styleId="48">
    <w:name w:val="TOC 标题1"/>
    <w:basedOn w:val="3"/>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9">
    <w:name w:val="标题 3 Char"/>
    <w:basedOn w:val="25"/>
    <w:link w:val="4"/>
    <w:autoRedefine/>
    <w:semiHidden/>
    <w:qFormat/>
    <w:uiPriority w:val="9"/>
    <w:rPr>
      <w:rFonts w:ascii="@仿宋_GB2312" w:hAnsi="@仿宋_GB2312" w:eastAsia="@仿宋_GB2312" w:cs="@仿宋_GB2312"/>
      <w:b/>
      <w:bCs/>
      <w:sz w:val="32"/>
      <w:szCs w:val="32"/>
    </w:rPr>
  </w:style>
  <w:style w:type="character" w:customStyle="1" w:styleId="50">
    <w:name w:val="fontstyle01"/>
    <w:basedOn w:val="25"/>
    <w:autoRedefine/>
    <w:qFormat/>
    <w:uiPriority w:val="0"/>
    <w:rPr>
      <w:rFonts w:hint="eastAsia" w:ascii="宋体" w:hAnsi="宋体" w:eastAsia="宋体"/>
      <w:color w:val="000000"/>
      <w:sz w:val="22"/>
      <w:szCs w:val="22"/>
    </w:rPr>
  </w:style>
  <w:style w:type="character" w:customStyle="1" w:styleId="51">
    <w:name w:val="fontstyle21"/>
    <w:basedOn w:val="25"/>
    <w:autoRedefine/>
    <w:qFormat/>
    <w:uiPriority w:val="0"/>
    <w:rPr>
      <w:rFonts w:hint="default" w:ascii="TimesNewRomanPSMT" w:hAnsi="TimesNewRomanPSMT"/>
      <w:color w:val="000000"/>
      <w:sz w:val="22"/>
      <w:szCs w:val="22"/>
    </w:rPr>
  </w:style>
  <w:style w:type="character" w:customStyle="1" w:styleId="52">
    <w:name w:val="正文文本 (2) + Sylfaen2"/>
    <w:autoRedefine/>
    <w:qFormat/>
    <w:uiPriority w:val="99"/>
    <w:rPr>
      <w:rFonts w:ascii="Sylfaen" w:hAnsi="Sylfaen" w:eastAsia="MingLiU" w:cs="Sylfaen"/>
      <w:spacing w:val="0"/>
      <w:sz w:val="23"/>
      <w:szCs w:val="23"/>
      <w:shd w:val="clear" w:color="auto" w:fill="FFFFFF"/>
      <w:lang w:val="en-US" w:eastAsia="en-US"/>
    </w:rPr>
  </w:style>
  <w:style w:type="character" w:customStyle="1" w:styleId="53">
    <w:name w:val="标题 4 字符"/>
    <w:basedOn w:val="25"/>
    <w:autoRedefine/>
    <w:semiHidden/>
    <w:qFormat/>
    <w:uiPriority w:val="9"/>
    <w:rPr>
      <w:rFonts w:asciiTheme="majorHAnsi" w:hAnsiTheme="majorHAnsi" w:eastAsiaTheme="majorEastAsia" w:cstheme="majorBidi"/>
      <w:b/>
      <w:bCs/>
      <w:sz w:val="28"/>
      <w:szCs w:val="28"/>
    </w:rPr>
  </w:style>
  <w:style w:type="character" w:customStyle="1" w:styleId="54">
    <w:name w:val="标题 4 Char"/>
    <w:link w:val="5"/>
    <w:autoRedefine/>
    <w:qFormat/>
    <w:uiPriority w:val="0"/>
    <w:rPr>
      <w:rFonts w:ascii="@仿宋_GB2312" w:hAnsi="@仿宋_GB2312" w:eastAsia="@仿宋_GB2312" w:cs="@仿宋_GB2312"/>
      <w:b/>
      <w:bCs/>
      <w:sz w:val="28"/>
      <w:szCs w:val="28"/>
    </w:rPr>
  </w:style>
  <w:style w:type="character" w:customStyle="1" w:styleId="55">
    <w:name w:val="font41"/>
    <w:basedOn w:val="25"/>
    <w:autoRedefine/>
    <w:qFormat/>
    <w:uiPriority w:val="0"/>
    <w:rPr>
      <w:rFonts w:hint="default" w:ascii="仿宋_GB2312" w:eastAsia="仿宋_GB2312" w:cs="仿宋_GB2312"/>
      <w:color w:val="000000"/>
      <w:sz w:val="21"/>
      <w:szCs w:val="21"/>
      <w:u w:val="none"/>
    </w:rPr>
  </w:style>
  <w:style w:type="character" w:customStyle="1" w:styleId="56">
    <w:name w:val="font31"/>
    <w:basedOn w:val="25"/>
    <w:autoRedefine/>
    <w:qFormat/>
    <w:uiPriority w:val="0"/>
    <w:rPr>
      <w:rFonts w:hint="eastAsia" w:ascii="仿宋" w:hAnsi="仿宋" w:eastAsia="仿宋" w:cs="仿宋"/>
      <w:color w:val="000000"/>
      <w:sz w:val="22"/>
      <w:szCs w:val="22"/>
      <w:u w:val="none"/>
    </w:rPr>
  </w:style>
  <w:style w:type="character" w:customStyle="1" w:styleId="57">
    <w:name w:val="font121"/>
    <w:basedOn w:val="25"/>
    <w:autoRedefine/>
    <w:qFormat/>
    <w:uiPriority w:val="0"/>
    <w:rPr>
      <w:rFonts w:hint="default" w:ascii="仿宋_GB2312" w:eastAsia="仿宋_GB2312" w:cs="仿宋_GB2312"/>
      <w:color w:val="000000"/>
      <w:sz w:val="21"/>
      <w:szCs w:val="21"/>
      <w:u w:val="none"/>
    </w:rPr>
  </w:style>
  <w:style w:type="character" w:customStyle="1" w:styleId="58">
    <w:name w:val="font51"/>
    <w:basedOn w:val="25"/>
    <w:autoRedefine/>
    <w:qFormat/>
    <w:uiPriority w:val="0"/>
    <w:rPr>
      <w:rFonts w:hint="eastAsia" w:ascii="宋体" w:hAnsi="宋体" w:eastAsia="宋体" w:cs="宋体"/>
      <w:color w:val="000000"/>
      <w:sz w:val="22"/>
      <w:szCs w:val="22"/>
      <w:u w:val="none"/>
    </w:rPr>
  </w:style>
  <w:style w:type="character" w:customStyle="1" w:styleId="59">
    <w:name w:val="font11"/>
    <w:basedOn w:val="25"/>
    <w:autoRedefine/>
    <w:qFormat/>
    <w:uiPriority w:val="0"/>
    <w:rPr>
      <w:rFonts w:hint="eastAsia" w:ascii="宋体" w:hAnsi="宋体" w:eastAsia="宋体" w:cs="宋体"/>
      <w:b/>
      <w:bCs/>
      <w:color w:val="000000"/>
      <w:sz w:val="24"/>
      <w:szCs w:val="24"/>
      <w:u w:val="none"/>
    </w:rPr>
  </w:style>
  <w:style w:type="character" w:customStyle="1" w:styleId="60">
    <w:name w:val="font21"/>
    <w:basedOn w:val="25"/>
    <w:autoRedefine/>
    <w:qFormat/>
    <w:uiPriority w:val="0"/>
    <w:rPr>
      <w:rFonts w:hint="eastAsia" w:ascii="宋体" w:hAnsi="宋体" w:eastAsia="宋体" w:cs="宋体"/>
      <w:color w:val="000000"/>
      <w:sz w:val="22"/>
      <w:szCs w:val="22"/>
      <w:u w:val="none"/>
    </w:rPr>
  </w:style>
  <w:style w:type="character" w:customStyle="1" w:styleId="61">
    <w:name w:val="font71"/>
    <w:basedOn w:val="25"/>
    <w:autoRedefine/>
    <w:qFormat/>
    <w:uiPriority w:val="0"/>
    <w:rPr>
      <w:rFonts w:hint="eastAsia" w:ascii="宋体" w:hAnsi="宋体" w:eastAsia="宋体" w:cs="宋体"/>
      <w:color w:val="000000"/>
      <w:sz w:val="22"/>
      <w:szCs w:val="22"/>
      <w:u w:val="none"/>
    </w:rPr>
  </w:style>
  <w:style w:type="character" w:customStyle="1" w:styleId="62">
    <w:name w:val="font91"/>
    <w:basedOn w:val="25"/>
    <w:autoRedefine/>
    <w:qFormat/>
    <w:uiPriority w:val="0"/>
    <w:rPr>
      <w:rFonts w:hint="eastAsia" w:ascii="宋体" w:hAnsi="宋体" w:eastAsia="宋体" w:cs="宋体"/>
      <w:color w:val="000000"/>
      <w:sz w:val="16"/>
      <w:szCs w:val="16"/>
      <w:u w:val="none"/>
    </w:rPr>
  </w:style>
  <w:style w:type="character" w:customStyle="1" w:styleId="63">
    <w:name w:val="font61"/>
    <w:basedOn w:val="25"/>
    <w:autoRedefine/>
    <w:qFormat/>
    <w:uiPriority w:val="0"/>
    <w:rPr>
      <w:rFonts w:hint="eastAsia" w:ascii="宋体" w:hAnsi="宋体" w:eastAsia="宋体" w:cs="宋体"/>
      <w:color w:val="000000"/>
      <w:sz w:val="24"/>
      <w:szCs w:val="24"/>
      <w:u w:val="none"/>
    </w:rPr>
  </w:style>
  <w:style w:type="character" w:customStyle="1" w:styleId="64">
    <w:name w:val="font101"/>
    <w:basedOn w:val="25"/>
    <w:autoRedefine/>
    <w:qFormat/>
    <w:uiPriority w:val="0"/>
    <w:rPr>
      <w:rFonts w:hint="eastAsia" w:ascii="宋体" w:hAnsi="宋体" w:eastAsia="宋体" w:cs="宋体"/>
      <w:color w:val="000000"/>
      <w:sz w:val="22"/>
      <w:szCs w:val="22"/>
      <w:u w:val="none"/>
      <w:vertAlign w:val="subscript"/>
    </w:rPr>
  </w:style>
  <w:style w:type="character" w:customStyle="1" w:styleId="65">
    <w:name w:val="font112"/>
    <w:basedOn w:val="25"/>
    <w:autoRedefine/>
    <w:qFormat/>
    <w:uiPriority w:val="0"/>
    <w:rPr>
      <w:rFonts w:hint="eastAsia" w:ascii="宋体" w:hAnsi="宋体" w:eastAsia="宋体" w:cs="宋体"/>
      <w:color w:val="000000"/>
      <w:sz w:val="22"/>
      <w:szCs w:val="22"/>
      <w:u w:val="none"/>
      <w:vertAlign w:val="superscript"/>
    </w:rPr>
  </w:style>
  <w:style w:type="character" w:customStyle="1" w:styleId="66">
    <w:name w:val="font01"/>
    <w:basedOn w:val="25"/>
    <w:autoRedefine/>
    <w:qFormat/>
    <w:uiPriority w:val="0"/>
    <w:rPr>
      <w:rFonts w:hint="eastAsia" w:ascii="宋体" w:hAnsi="宋体" w:eastAsia="宋体" w:cs="宋体"/>
      <w:color w:val="000000"/>
      <w:sz w:val="22"/>
      <w:szCs w:val="22"/>
      <w:u w:val="none"/>
    </w:rPr>
  </w:style>
  <w:style w:type="paragraph" w:customStyle="1" w:styleId="67">
    <w:name w:val="Table Paragraph"/>
    <w:basedOn w:val="1"/>
    <w:autoRedefine/>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A8178C-53BF-40EB-91A6-D0D3DD310A90}">
  <ds:schemaRefs/>
</ds:datastoreItem>
</file>

<file path=docProps/app.xml><?xml version="1.0" encoding="utf-8"?>
<Properties xmlns="http://schemas.openxmlformats.org/officeDocument/2006/extended-properties" xmlns:vt="http://schemas.openxmlformats.org/officeDocument/2006/docPropsVTypes">
  <Template>Normal</Template>
  <Company>akoosky</Company>
  <Pages>90</Pages>
  <Words>41403</Words>
  <Characters>44277</Characters>
  <Lines>243</Lines>
  <Paragraphs>68</Paragraphs>
  <TotalTime>4</TotalTime>
  <ScaleCrop>false</ScaleCrop>
  <LinksUpToDate>false</LinksUpToDate>
  <CharactersWithSpaces>46155</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2020-06-30T11:12:00Z</dcterms:created>
  <dc:creator>Anakin</dc:creator>
  <cp:lastModifiedBy>小鱼</cp:lastModifiedBy>
  <cp:lastPrinted>2019-12-07T15:19:00Z</cp:lastPrinted>
  <dcterms:modified xsi:type="dcterms:W3CDTF">2024-02-06T07:42:09Z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67CA6FC90FF14413ACF87022CAC83E97_13</vt:lpwstr>
  </property>
</Properties>
</file>